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A1D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147AF54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58937429">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427C7620">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137</w:t>
      </w:r>
      <w:r>
        <w:rPr>
          <w:rFonts w:eastAsia="仿宋_GB2312"/>
          <w:color w:val="auto"/>
          <w:kern w:val="0"/>
          <w:position w:val="-2"/>
          <w:sz w:val="32"/>
          <w:szCs w:val="32"/>
        </w:rPr>
        <w:t>号</w:t>
      </w:r>
    </w:p>
    <w:p w14:paraId="0E0E77A0">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0031C6B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olor w:val="auto"/>
          <w:kern w:val="0"/>
          <w:sz w:val="32"/>
          <w:szCs w:val="32"/>
          <w:lang w:val="en-US" w:eastAsia="zh-CN"/>
        </w:rPr>
        <w:t>当</w:t>
      </w:r>
      <w:r>
        <w:rPr>
          <w:rFonts w:hint="eastAsia" w:eastAsia="仿宋_GB2312" w:cs="Times New Roman"/>
          <w:color w:val="auto"/>
          <w:sz w:val="32"/>
          <w:szCs w:val="32"/>
          <w:lang w:val="en-US" w:eastAsia="zh-CN"/>
        </w:rPr>
        <w:t>事人名称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天津五洋华盛科技有限公司</w:t>
      </w:r>
    </w:p>
    <w:p w14:paraId="0AEAD48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lang w:val="en-US" w:eastAsia="zh-CN"/>
        </w:rPr>
        <w:t>91120223MA06G4GQ5M</w:t>
      </w:r>
    </w:p>
    <w:p w14:paraId="7BA2296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left="960" w:right="0" w:hanging="960" w:hanging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lang w:val="en-US" w:eastAsia="zh-CN"/>
        </w:rPr>
        <w:t>天津市静海区大邱庄镇友发路3号</w:t>
      </w:r>
    </w:p>
    <w:p w14:paraId="6AD3A73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ascii="Times New Roman" w:hAnsi="Times New Roman" w:eastAsia="仿宋_GB2312"/>
          <w:color w:val="auto"/>
          <w:kern w:val="0"/>
          <w:sz w:val="32"/>
          <w:szCs w:val="32"/>
        </w:rPr>
      </w:pPr>
      <w:r>
        <w:rPr>
          <w:rFonts w:hint="default" w:ascii="Times New Roman" w:hAnsi="Times New Roman" w:eastAsia="仿宋_GB2312" w:cs="Times New Roman"/>
          <w:color w:val="auto"/>
          <w:sz w:val="32"/>
          <w:szCs w:val="32"/>
          <w:lang w:eastAsia="zh-CN"/>
        </w:rPr>
        <w:t>法定代表人：</w:t>
      </w:r>
      <w:r>
        <w:rPr>
          <w:rFonts w:hint="default" w:ascii="Times New Roman" w:hAnsi="Times New Roman" w:eastAsia="仿宋_GB2312" w:cs="Times New Roman"/>
          <w:color w:val="auto"/>
          <w:sz w:val="32"/>
          <w:szCs w:val="32"/>
          <w:lang w:val="en-US" w:eastAsia="zh-CN"/>
        </w:rPr>
        <w:t>刘佩虎</w:t>
      </w:r>
    </w:p>
    <w:p w14:paraId="39B7A69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14:paraId="61D3736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14:paraId="2301236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按照大气污染防治工作安排，我局于2024年9月23日对你单位进行了检查。参考你单位《天津五洋华盛科技有限公司新增生物质锅炉项目建设项目环境影响报告表》及审批、验收文件、《排污许可证副本》（证书编号：91120223MA06G4GQ5M001P），你单位新增1台6t/h生物质蒸汽锅炉代替原有6t/h燃气锅炉，产生的废气经SNCR脱硝处理后，再经布袋除尘和脱硫除尘后经一根35m高排气筒P9排放，主要污染物为颗粒物、SO</w:t>
      </w:r>
      <w:r>
        <w:rPr>
          <w:rFonts w:hint="eastAsia" w:ascii="Times New Roman" w:hAnsi="Times New Roman" w:eastAsia="仿宋_GB2312"/>
          <w:color w:val="auto"/>
          <w:sz w:val="32"/>
          <w:szCs w:val="32"/>
          <w:vertAlign w:val="subscript"/>
          <w:lang w:val="en-US" w:eastAsia="zh-CN"/>
        </w:rPr>
        <w:t>2</w:t>
      </w:r>
      <w:r>
        <w:rPr>
          <w:rFonts w:hint="eastAsia" w:ascii="Times New Roman" w:hAnsi="Times New Roman" w:eastAsia="仿宋_GB2312"/>
          <w:color w:val="auto"/>
          <w:sz w:val="32"/>
          <w:szCs w:val="32"/>
          <w:lang w:val="en-US" w:eastAsia="zh-CN"/>
        </w:rPr>
        <w:t>、NO</w:t>
      </w:r>
      <w:r>
        <w:rPr>
          <w:rFonts w:hint="eastAsia" w:ascii="Times New Roman" w:hAnsi="Times New Roman" w:eastAsia="仿宋_GB2312"/>
          <w:color w:val="auto"/>
          <w:sz w:val="32"/>
          <w:szCs w:val="32"/>
          <w:vertAlign w:val="subscript"/>
          <w:lang w:val="en-US" w:eastAsia="zh-CN"/>
        </w:rPr>
        <w:t>X</w:t>
      </w:r>
      <w:r>
        <w:rPr>
          <w:rFonts w:hint="eastAsia" w:ascii="Times New Roman" w:hAnsi="Times New Roman" w:eastAsia="仿宋_GB2312"/>
          <w:color w:val="auto"/>
          <w:sz w:val="32"/>
          <w:szCs w:val="32"/>
          <w:lang w:val="en-US" w:eastAsia="zh-CN"/>
        </w:rPr>
        <w:t>、CO、汞及其化合物、烟气黑度。经调查，</w:t>
      </w:r>
      <w:r>
        <w:rPr>
          <w:rFonts w:hint="eastAsia" w:ascii="Times New Roman" w:hAnsi="Times New Roman" w:eastAsia="仿宋_GB2312"/>
          <w:color w:val="auto"/>
          <w:sz w:val="32"/>
          <w:szCs w:val="32"/>
        </w:rPr>
        <w:t>发现你单位实施了以下环境违法行为：</w:t>
      </w:r>
    </w:p>
    <w:p w14:paraId="6048175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执法人员现场检查时，你单位生物质锅炉正在生产，配套污染防治设施风机正在运行。执法人员发现车间内有大量烟尘从生物质锅炉投料口处外溢扩散，经调查，你单位布袋除尘器气缸堵塞，导致锅盖无法打开，且生物质锅炉对应的SNCR脱硝装置停用无法开启，有大量气态污染物无组织排放。</w:t>
      </w:r>
    </w:p>
    <w:p w14:paraId="2696883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以上事实，有</w:t>
      </w:r>
      <w:bookmarkStart w:id="3" w:name="PO_4_ShiShiZhengJu"/>
      <w:r>
        <w:rPr>
          <w:rFonts w:hint="eastAsia" w:ascii="Times New Roman" w:hAnsi="Times New Roman" w:eastAsia="仿宋_GB2312"/>
          <w:color w:val="auto"/>
          <w:sz w:val="32"/>
          <w:szCs w:val="32"/>
        </w:rPr>
        <w:t>《天津市生态环境局现场检查（勘察）笔录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《天津市生态环境局调查询问笔录》</w:t>
      </w:r>
      <w:r>
        <w:rPr>
          <w:rFonts w:hint="eastAsia" w:ascii="Times New Roman" w:hAnsi="Times New Roman" w:eastAsia="仿宋_GB2312"/>
          <w:color w:val="auto"/>
          <w:sz w:val="32"/>
          <w:szCs w:val="32"/>
          <w:lang w:eastAsia="zh-CN"/>
        </w:rPr>
        <w:t>；你单位提供的</w:t>
      </w:r>
      <w:r>
        <w:rPr>
          <w:rFonts w:hint="eastAsia" w:ascii="Times New Roman" w:hAnsi="Times New Roman" w:eastAsia="仿宋_GB2312"/>
          <w:color w:val="auto"/>
          <w:sz w:val="32"/>
          <w:szCs w:val="32"/>
          <w:lang w:val="en-US" w:eastAsia="zh-CN"/>
        </w:rPr>
        <w:t>《天津五洋华盛科技有限公司新增生物质锅炉项目建设项目环境影响报告表》及审批、验收文件、《排污许可证副本》（证书编号：91120223MA06G4GQ5M001P）；</w:t>
      </w:r>
      <w:r>
        <w:rPr>
          <w:rFonts w:hint="eastAsia" w:ascii="Times New Roman" w:hAnsi="Times New Roman" w:eastAsia="仿宋_GB2312"/>
          <w:color w:val="auto"/>
          <w:sz w:val="32"/>
          <w:szCs w:val="32"/>
        </w:rPr>
        <w:t>现场拍摄的视频以及营业执照复印件</w:t>
      </w:r>
      <w:bookmarkEnd w:id="3"/>
      <w:r>
        <w:rPr>
          <w:rFonts w:hint="eastAsia" w:ascii="Times New Roman" w:hAnsi="Times New Roman" w:eastAsia="仿宋_GB2312"/>
          <w:color w:val="auto"/>
          <w:sz w:val="32"/>
          <w:szCs w:val="32"/>
        </w:rPr>
        <w:t>等证据为凭。</w:t>
      </w:r>
    </w:p>
    <w:p w14:paraId="5471F67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《天津市大气污染防治条例》第十九条第一款的规定</w:t>
      </w:r>
      <w:r>
        <w:rPr>
          <w:rFonts w:ascii="Times New Roman" w:hAnsi="Times New Roman" w:eastAsia="仿宋_GB2312"/>
          <w:color w:val="auto"/>
          <w:kern w:val="0"/>
          <w:sz w:val="32"/>
          <w:szCs w:val="32"/>
        </w:rPr>
        <w:t>，</w:t>
      </w:r>
      <w:r>
        <w:rPr>
          <w:rFonts w:hint="eastAsia" w:eastAsia="仿宋_GB2312"/>
          <w:color w:val="auto"/>
          <w:sz w:val="32"/>
          <w:szCs w:val="32"/>
          <w:lang w:val="en-US" w:eastAsia="zh-CN"/>
        </w:rPr>
        <w:t>属于</w:t>
      </w:r>
      <w:r>
        <w:rPr>
          <w:rFonts w:hint="eastAsia" w:ascii="Times New Roman" w:hAnsi="Times New Roman" w:eastAsia="仿宋_GB2312"/>
          <w:color w:val="auto"/>
          <w:sz w:val="32"/>
          <w:szCs w:val="32"/>
          <w:lang w:val="en-US" w:eastAsia="zh-CN"/>
        </w:rPr>
        <w:t>未按照规定使用大气污染防治设施</w:t>
      </w:r>
      <w:r>
        <w:rPr>
          <w:rFonts w:hint="eastAsia" w:ascii="Times New Roman" w:hAnsi="Times New Roman" w:eastAsia="仿宋_GB2312" w:cs="Times New Roman"/>
          <w:color w:val="auto"/>
          <w:kern w:val="0"/>
          <w:sz w:val="32"/>
          <w:szCs w:val="32"/>
          <w:lang w:val="en-US" w:eastAsia="zh-CN"/>
        </w:rPr>
        <w:t>的环境违法行为，</w:t>
      </w:r>
      <w:r>
        <w:rPr>
          <w:rFonts w:ascii="Times New Roman" w:hAnsi="Times New Roman" w:eastAsia="仿宋_GB2312"/>
          <w:color w:val="auto"/>
          <w:kern w:val="0"/>
          <w:sz w:val="32"/>
          <w:szCs w:val="32"/>
        </w:rPr>
        <w:t>依法应当予以处罚。</w:t>
      </w:r>
    </w:p>
    <w:p w14:paraId="63C7255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10</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23</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119</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10</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25</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14:paraId="50FF903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2024年</w:t>
      </w:r>
      <w:r>
        <w:rPr>
          <w:rFonts w:hint="eastAsia" w:eastAsia="仿宋_GB2312"/>
          <w:color w:val="auto"/>
          <w:kern w:val="0"/>
          <w:sz w:val="32"/>
          <w:szCs w:val="32"/>
          <w:lang w:val="en-US" w:eastAsia="zh-CN"/>
        </w:rPr>
        <w:t>10</w:t>
      </w:r>
      <w:r>
        <w:rPr>
          <w:rFonts w:hint="eastAsia" w:ascii="Times New Roman" w:hAnsi="Times New Roman" w:eastAsia="仿宋_GB2312"/>
          <w:color w:val="auto"/>
          <w:kern w:val="0"/>
          <w:sz w:val="32"/>
          <w:szCs w:val="32"/>
          <w:lang w:val="en-US" w:eastAsia="zh-CN"/>
        </w:rPr>
        <w:t>月</w:t>
      </w:r>
      <w:r>
        <w:rPr>
          <w:rFonts w:hint="eastAsia" w:eastAsia="仿宋_GB2312"/>
          <w:color w:val="auto"/>
          <w:kern w:val="0"/>
          <w:sz w:val="32"/>
          <w:szCs w:val="32"/>
          <w:lang w:val="en-US" w:eastAsia="zh-CN"/>
        </w:rPr>
        <w:t>26</w:t>
      </w:r>
      <w:r>
        <w:rPr>
          <w:rFonts w:hint="eastAsia" w:ascii="Times New Roman" w:hAnsi="Times New Roman" w:eastAsia="仿宋_GB2312"/>
          <w:color w:val="auto"/>
          <w:kern w:val="0"/>
          <w:sz w:val="32"/>
          <w:szCs w:val="32"/>
          <w:lang w:val="en-US" w:eastAsia="zh-CN"/>
        </w:rPr>
        <w:t>日</w:t>
      </w:r>
      <w:r>
        <w:rPr>
          <w:rFonts w:hint="eastAsia" w:ascii="Times New Roman" w:hAnsi="Times New Roman" w:eastAsia="仿宋_GB2312"/>
          <w:color w:val="auto"/>
          <w:kern w:val="0"/>
          <w:sz w:val="32"/>
          <w:szCs w:val="32"/>
        </w:rPr>
        <w:t>你单位</w:t>
      </w:r>
      <w:r>
        <w:rPr>
          <w:rFonts w:hint="eastAsia" w:ascii="Times New Roman" w:hAnsi="Times New Roman" w:eastAsia="仿宋_GB2312"/>
          <w:color w:val="auto"/>
          <w:kern w:val="0"/>
          <w:sz w:val="32"/>
          <w:szCs w:val="32"/>
          <w:lang w:val="en-US" w:eastAsia="zh-CN"/>
        </w:rPr>
        <w:t>向</w:t>
      </w:r>
      <w:r>
        <w:rPr>
          <w:rFonts w:hint="eastAsia" w:ascii="Times New Roman" w:hAnsi="Times New Roman" w:eastAsia="仿宋_GB2312"/>
          <w:color w:val="auto"/>
          <w:kern w:val="0"/>
          <w:sz w:val="32"/>
          <w:szCs w:val="32"/>
        </w:rPr>
        <w:t>我局提</w:t>
      </w:r>
      <w:r>
        <w:rPr>
          <w:rFonts w:hint="eastAsia" w:ascii="Times New Roman" w:hAnsi="Times New Roman" w:eastAsia="仿宋_GB2312"/>
          <w:color w:val="auto"/>
          <w:kern w:val="0"/>
          <w:sz w:val="32"/>
          <w:szCs w:val="32"/>
          <w:lang w:eastAsia="zh-CN"/>
        </w:rPr>
        <w:t>出</w:t>
      </w:r>
      <w:r>
        <w:rPr>
          <w:rFonts w:hint="eastAsia" w:ascii="Times New Roman" w:hAnsi="Times New Roman" w:eastAsia="仿宋_GB2312"/>
          <w:color w:val="auto"/>
          <w:kern w:val="0"/>
          <w:sz w:val="32"/>
          <w:szCs w:val="32"/>
          <w:lang w:val="en-US" w:eastAsia="zh-CN"/>
        </w:rPr>
        <w:t>陈述</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申辩意见</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14:paraId="6028B16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w:t>
      </w:r>
      <w:r>
        <w:rPr>
          <w:rFonts w:hint="eastAsia" w:eastAsia="仿宋_GB2312"/>
          <w:color w:val="auto"/>
          <w:kern w:val="0"/>
          <w:sz w:val="32"/>
          <w:szCs w:val="32"/>
          <w:lang w:val="en-US" w:eastAsia="zh-CN"/>
        </w:rPr>
        <w:t>我</w:t>
      </w:r>
      <w:r>
        <w:rPr>
          <w:rFonts w:hint="eastAsia" w:ascii="Times New Roman" w:hAnsi="Times New Roman" w:eastAsia="仿宋_GB2312"/>
          <w:color w:val="auto"/>
          <w:kern w:val="0"/>
          <w:sz w:val="32"/>
          <w:szCs w:val="32"/>
          <w:lang w:val="en-US" w:eastAsia="zh-CN"/>
        </w:rPr>
        <w:t>单位认为主观上不存在故意不开启环保治理设施来违规排放大气污染物的违法动机。2024年9月22日18点下班前巡查时各个环保治理设施均正常运行，23点30分左右锅炉工发现生物质锅炉废气不能有效收集，立即巡查环保治理设施并开始停炉工作。巡查过程中发现布袋除尘器上方气缸和电磁阀突发状况，导致锅盖无法打开，引风机运行抽不动烟尘，造成炉内废气逸散；SNCR治理设施脱销装置输送泵故障。</w:t>
      </w:r>
    </w:p>
    <w:p w14:paraId="6106389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w:t>
      </w:r>
      <w:r>
        <w:rPr>
          <w:rFonts w:hint="eastAsia" w:eastAsia="仿宋_GB2312"/>
          <w:color w:val="auto"/>
          <w:kern w:val="0"/>
          <w:sz w:val="32"/>
          <w:szCs w:val="32"/>
          <w:lang w:val="en-US" w:eastAsia="zh-CN"/>
        </w:rPr>
        <w:t>我</w:t>
      </w:r>
      <w:r>
        <w:rPr>
          <w:rFonts w:hint="eastAsia" w:ascii="Times New Roman" w:hAnsi="Times New Roman" w:eastAsia="仿宋_GB2312"/>
          <w:color w:val="auto"/>
          <w:kern w:val="0"/>
          <w:sz w:val="32"/>
          <w:szCs w:val="32"/>
          <w:lang w:val="en-US" w:eastAsia="zh-CN"/>
        </w:rPr>
        <w:t>单位目前资金困难，行业市场不景气，收入低迷，并要支付员工工资、各种原辅料费用、维修和各种配件费用，支出和收入呈反比状态。</w:t>
      </w:r>
    </w:p>
    <w:p w14:paraId="7B415F4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olor w:val="auto"/>
          <w:kern w:val="0"/>
          <w:sz w:val="32"/>
          <w:szCs w:val="32"/>
          <w:lang w:val="en-US"/>
        </w:rPr>
      </w:pPr>
      <w:r>
        <w:rPr>
          <w:rFonts w:hint="eastAsia" w:eastAsia="仿宋_GB2312"/>
          <w:color w:val="auto"/>
          <w:kern w:val="0"/>
          <w:sz w:val="32"/>
          <w:szCs w:val="32"/>
          <w:lang w:val="en-US" w:eastAsia="zh-CN"/>
        </w:rPr>
        <w:t>3.</w:t>
      </w:r>
      <w:r>
        <w:rPr>
          <w:rFonts w:hint="eastAsia" w:ascii="Times New Roman" w:hAnsi="Times New Roman" w:eastAsia="仿宋_GB2312"/>
          <w:color w:val="auto"/>
          <w:kern w:val="0"/>
          <w:sz w:val="32"/>
          <w:szCs w:val="32"/>
          <w:lang w:val="en-US" w:eastAsia="zh-CN"/>
        </w:rPr>
        <w:t>经过此事件，以后会增加电工对线路的巡查频次，避免因为线路短路造成环保治理设施不运行，对各工作岗位实施环境保护责任制度考核，加强内部环境管理，严格落实环保相关法律法规的要求</w:t>
      </w:r>
      <w:r>
        <w:rPr>
          <w:rFonts w:hint="eastAsia" w:eastAsia="仿宋_GB2312"/>
          <w:color w:val="auto"/>
          <w:kern w:val="0"/>
          <w:sz w:val="32"/>
          <w:szCs w:val="32"/>
          <w:lang w:val="en-US" w:eastAsia="zh-CN"/>
        </w:rPr>
        <w:t>。恳请贵局酌情处理，从轻处罚</w:t>
      </w:r>
      <w:r>
        <w:rPr>
          <w:rFonts w:hint="eastAsia" w:ascii="Times New Roman" w:hAnsi="Times New Roman" w:eastAsia="仿宋_GB2312"/>
          <w:color w:val="auto"/>
          <w:kern w:val="0"/>
          <w:sz w:val="32"/>
          <w:szCs w:val="32"/>
          <w:lang w:val="en-US" w:eastAsia="zh-CN"/>
        </w:rPr>
        <w:t>。</w:t>
      </w:r>
    </w:p>
    <w:p w14:paraId="3231911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ascii="Times New Roman" w:hAnsi="Times New Roman" w:eastAsia="仿宋_GB2312"/>
          <w:color w:val="auto"/>
          <w:kern w:val="0"/>
          <w:sz w:val="32"/>
          <w:szCs w:val="32"/>
        </w:rPr>
        <w:t>以</w:t>
      </w:r>
      <w:r>
        <w:rPr>
          <w:rFonts w:eastAsia="仿宋_GB2312"/>
          <w:color w:val="auto"/>
          <w:kern w:val="0"/>
          <w:sz w:val="32"/>
          <w:szCs w:val="32"/>
        </w:rPr>
        <w:t>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119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你单位于2024年10月26日提出的陈述、申辩材料等证据为凭。</w:t>
      </w:r>
    </w:p>
    <w:p w14:paraId="632D553D">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事先告知书中拟处罚金额已充分考虑到你单位违法情节、整改情况及经营困难等因素，故不采纳你单位申请从轻处罚的陈述、申辩意见。本案违法事实清楚、执法程序合法、法律适用准确、处罚幅度裁量合理</w:t>
      </w:r>
      <w:r>
        <w:rPr>
          <w:rFonts w:hint="eastAsia" w:ascii="Times New Roman" w:hAnsi="Times New Roman" w:eastAsia="仿宋_GB2312"/>
          <w:color w:val="auto"/>
          <w:kern w:val="0"/>
          <w:sz w:val="32"/>
          <w:szCs w:val="32"/>
          <w:lang w:val="en-US" w:eastAsia="zh-CN"/>
        </w:rPr>
        <w:t>。</w:t>
      </w:r>
    </w:p>
    <w:p w14:paraId="7E27149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14:paraId="2037F40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《天津市大气污染防治条例》第七十七条第二项的规定</w:t>
      </w:r>
      <w:r>
        <w:rPr>
          <w:rFonts w:hint="eastAsia" w:ascii="Times New Roman" w:hAnsi="Times New Roman" w:eastAsia="仿宋_GB2312"/>
          <w:color w:val="auto"/>
          <w:kern w:val="0"/>
          <w:sz w:val="32"/>
          <w:szCs w:val="32"/>
          <w:lang w:eastAsia="zh-CN"/>
        </w:rPr>
        <w:t>，我局：</w:t>
      </w:r>
    </w:p>
    <w:p w14:paraId="0AF4F28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kern w:val="0"/>
          <w:sz w:val="32"/>
          <w:szCs w:val="32"/>
          <w:lang w:val="en-US" w:eastAsia="zh-CN"/>
        </w:rPr>
        <w:t>停止违法行为，立即改正</w:t>
      </w:r>
      <w:r>
        <w:rPr>
          <w:rFonts w:hint="eastAsia" w:ascii="Times New Roman" w:hAnsi="Times New Roman" w:eastAsia="仿宋_GB2312"/>
          <w:color w:val="auto"/>
          <w:kern w:val="0"/>
          <w:sz w:val="32"/>
          <w:szCs w:val="32"/>
        </w:rPr>
        <w:t>；</w:t>
      </w:r>
    </w:p>
    <w:p w14:paraId="3419D4B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eastAsia" w:ascii="Times New Roman" w:hAnsi="Times New Roman" w:eastAsia="仿宋_GB2312"/>
          <w:color w:val="auto"/>
          <w:kern w:val="0"/>
          <w:sz w:val="32"/>
          <w:szCs w:val="32"/>
        </w:rPr>
        <w:t>.对你单位处罚款</w:t>
      </w:r>
      <w:r>
        <w:rPr>
          <w:rFonts w:hint="eastAsia" w:eastAsia="仿宋_GB2312"/>
          <w:color w:val="auto"/>
          <w:kern w:val="0"/>
          <w:sz w:val="32"/>
          <w:szCs w:val="32"/>
          <w:lang w:val="en-US" w:eastAsia="zh-CN"/>
        </w:rPr>
        <w:t>二</w:t>
      </w:r>
      <w:r>
        <w:rPr>
          <w:rFonts w:hint="eastAsia" w:ascii="Times New Roman" w:hAnsi="Times New Roman" w:eastAsia="仿宋_GB2312"/>
          <w:color w:val="auto"/>
          <w:kern w:val="0"/>
          <w:sz w:val="32"/>
          <w:szCs w:val="32"/>
          <w:lang w:val="en-US" w:eastAsia="zh-CN"/>
        </w:rPr>
        <w:t>万</w:t>
      </w:r>
      <w:r>
        <w:rPr>
          <w:rFonts w:hint="eastAsia" w:eastAsia="仿宋_GB2312"/>
          <w:color w:val="auto"/>
          <w:kern w:val="0"/>
          <w:sz w:val="32"/>
          <w:szCs w:val="32"/>
          <w:lang w:val="en-US" w:eastAsia="zh-CN"/>
        </w:rPr>
        <w:t>五千</w:t>
      </w:r>
      <w:r>
        <w:rPr>
          <w:rFonts w:hint="eastAsia" w:ascii="Times New Roman" w:hAnsi="Times New Roman" w:eastAsia="仿宋_GB2312"/>
          <w:color w:val="auto"/>
          <w:kern w:val="0"/>
          <w:sz w:val="32"/>
          <w:szCs w:val="32"/>
        </w:rPr>
        <w:t>元。</w:t>
      </w:r>
    </w:p>
    <w:p w14:paraId="5F92D0E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14:paraId="25382B2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14:paraId="5945FDF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立即</w:t>
      </w:r>
      <w:r>
        <w:rPr>
          <w:rFonts w:ascii="Times New Roman" w:hAnsi="Times New Roman" w:eastAsia="仿宋_GB2312"/>
          <w:color w:val="auto"/>
          <w:kern w:val="0"/>
          <w:sz w:val="32"/>
          <w:szCs w:val="32"/>
        </w:rPr>
        <w:t>改正</w:t>
      </w:r>
      <w:r>
        <w:rPr>
          <w:rFonts w:hint="eastAsia" w:ascii="Times New Roman" w:hAnsi="Times New Roman" w:eastAsia="仿宋_GB2312"/>
          <w:color w:val="auto"/>
          <w:kern w:val="0"/>
          <w:sz w:val="32"/>
          <w:szCs w:val="32"/>
          <w:lang w:eastAsia="zh-CN"/>
        </w:rPr>
        <w:t>上述</w:t>
      </w:r>
      <w:r>
        <w:rPr>
          <w:rFonts w:ascii="Times New Roman" w:hAnsi="Times New Roman" w:eastAsia="仿宋_GB2312"/>
          <w:color w:val="auto"/>
          <w:kern w:val="0"/>
          <w:sz w:val="32"/>
          <w:szCs w:val="32"/>
        </w:rPr>
        <w:t>违法行为</w:t>
      </w:r>
      <w:r>
        <w:rPr>
          <w:rFonts w:hint="eastAsia" w:ascii="Times New Roman" w:hAnsi="Times New Roman" w:eastAsia="仿宋_GB2312"/>
          <w:color w:val="auto"/>
          <w:kern w:val="0"/>
          <w:sz w:val="32"/>
          <w:szCs w:val="32"/>
          <w:lang w:eastAsia="zh-CN"/>
        </w:rPr>
        <w:t>，</w:t>
      </w:r>
      <w:r>
        <w:rPr>
          <w:rFonts w:hint="eastAsia" w:eastAsia="仿宋_GB2312"/>
          <w:color w:val="auto"/>
          <w:kern w:val="0"/>
          <w:sz w:val="32"/>
          <w:szCs w:val="32"/>
          <w:lang w:eastAsia="zh-CN"/>
        </w:rPr>
        <w:t>在生产经营中</w:t>
      </w:r>
      <w:r>
        <w:rPr>
          <w:rFonts w:hint="eastAsia" w:ascii="Times New Roman" w:hAnsi="Times New Roman" w:eastAsia="仿宋_GB2312"/>
          <w:color w:val="auto"/>
          <w:kern w:val="0"/>
          <w:sz w:val="32"/>
          <w:szCs w:val="32"/>
          <w:lang w:val="en-US" w:eastAsia="zh-CN"/>
        </w:rPr>
        <w:t>按照规定安装</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使用大气污染防治设施。</w:t>
      </w:r>
    </w:p>
    <w:p w14:paraId="3112635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14:paraId="408CCD9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14:paraId="79C9C5B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25FA421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3F043E0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4E871857">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14:paraId="13D2EF85">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04A128DF">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092D0946">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4"/>
      <w:r>
        <w:rPr>
          <w:rFonts w:hint="eastAsia" w:eastAsia="仿宋_GB2312"/>
          <w:color w:val="auto"/>
          <w:kern w:val="0"/>
          <w:sz w:val="32"/>
          <w:szCs w:val="32"/>
          <w:lang w:val="en-US" w:eastAsia="zh-CN"/>
        </w:rPr>
        <w:t>29</w:t>
      </w:r>
      <w:r>
        <w:rPr>
          <w:rFonts w:eastAsia="仿宋_GB2312"/>
          <w:color w:val="auto"/>
          <w:kern w:val="0"/>
          <w:sz w:val="32"/>
          <w:szCs w:val="32"/>
        </w:rPr>
        <w:t>日</w:t>
      </w:r>
    </w:p>
    <w:p w14:paraId="62C7C33B">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9EB04DA">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D7BAC75">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4A2F100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2A98D37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F04E8D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9037C0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DF7098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A0D93AC">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53AF33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A8CD51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8FE9A1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288DD97F">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1091">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A08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792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ED5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1A5F">
    <w:pPr>
      <w:pStyle w:val="9"/>
      <w:pBdr>
        <w:bottom w:val="none" w:color="auto" w:sz="0" w:space="0"/>
      </w:pBdr>
    </w:pPr>
  </w:p>
  <w:p w14:paraId="649362B0"/>
  <w:p w14:paraId="434D51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11E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24152C"/>
    <w:rsid w:val="04646A4B"/>
    <w:rsid w:val="0BC97030"/>
    <w:rsid w:val="0DE05630"/>
    <w:rsid w:val="12CA5B28"/>
    <w:rsid w:val="13067D26"/>
    <w:rsid w:val="14D06588"/>
    <w:rsid w:val="16FD0578"/>
    <w:rsid w:val="19143FA0"/>
    <w:rsid w:val="1BAF0A67"/>
    <w:rsid w:val="1C2C4C0F"/>
    <w:rsid w:val="1C882160"/>
    <w:rsid w:val="1EAA5E9C"/>
    <w:rsid w:val="1FF343B9"/>
    <w:rsid w:val="23D96EAA"/>
    <w:rsid w:val="24F15196"/>
    <w:rsid w:val="26995221"/>
    <w:rsid w:val="26B02437"/>
    <w:rsid w:val="28162510"/>
    <w:rsid w:val="2A1A666F"/>
    <w:rsid w:val="2B946F65"/>
    <w:rsid w:val="2C6E29F7"/>
    <w:rsid w:val="2D8321C2"/>
    <w:rsid w:val="2EE92518"/>
    <w:rsid w:val="3214796D"/>
    <w:rsid w:val="3E4B53BF"/>
    <w:rsid w:val="3FB74706"/>
    <w:rsid w:val="40DD74BA"/>
    <w:rsid w:val="450F61CB"/>
    <w:rsid w:val="4A3E05CE"/>
    <w:rsid w:val="4A437691"/>
    <w:rsid w:val="4BD91CDD"/>
    <w:rsid w:val="4CC52E39"/>
    <w:rsid w:val="4E2555C6"/>
    <w:rsid w:val="4E824260"/>
    <w:rsid w:val="4F731BF1"/>
    <w:rsid w:val="502F15FB"/>
    <w:rsid w:val="503F23C3"/>
    <w:rsid w:val="51355D30"/>
    <w:rsid w:val="51935037"/>
    <w:rsid w:val="547825CF"/>
    <w:rsid w:val="553A03CB"/>
    <w:rsid w:val="58763D60"/>
    <w:rsid w:val="5BDF2ED1"/>
    <w:rsid w:val="5DA44D9E"/>
    <w:rsid w:val="5F7C4535"/>
    <w:rsid w:val="624F5E3E"/>
    <w:rsid w:val="6404560A"/>
    <w:rsid w:val="64466571"/>
    <w:rsid w:val="64F75746"/>
    <w:rsid w:val="66B216B2"/>
    <w:rsid w:val="679D04BA"/>
    <w:rsid w:val="6851522E"/>
    <w:rsid w:val="6A2C0398"/>
    <w:rsid w:val="6C225043"/>
    <w:rsid w:val="6C5A27B0"/>
    <w:rsid w:val="6CB92618"/>
    <w:rsid w:val="72330BA4"/>
    <w:rsid w:val="730342C1"/>
    <w:rsid w:val="73744CD2"/>
    <w:rsid w:val="742B7C3A"/>
    <w:rsid w:val="7AAA6371"/>
    <w:rsid w:val="7B833A19"/>
    <w:rsid w:val="7BF842F5"/>
    <w:rsid w:val="7C317407"/>
    <w:rsid w:val="7C5D0785"/>
    <w:rsid w:val="7C932969"/>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5</Pages>
  <Words>2165</Words>
  <Characters>2403</Characters>
  <Lines>8</Lines>
  <Paragraphs>2</Paragraphs>
  <TotalTime>3</TotalTime>
  <ScaleCrop>false</ScaleCrop>
  <LinksUpToDate>false</LinksUpToDate>
  <CharactersWithSpaces>2515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水果东</cp:lastModifiedBy>
  <cp:lastPrinted>2024-11-29T03:17:00Z</cp:lastPrinted>
  <dcterms:modified xsi:type="dcterms:W3CDTF">2024-12-03T01:33:22Z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AE6CA1BAD8084241B0EACFFE9BBE09C6_11</vt:lpwstr>
  </property>
</Properties>
</file>