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FE5A2">
      <w:pPr>
        <w:autoSpaceDE w:val="0"/>
        <w:autoSpaceDN w:val="0"/>
        <w:adjustRightInd w:val="0"/>
        <w:snapToGrid w:val="0"/>
        <w:spacing w:line="760" w:lineRule="exact"/>
        <w:ind w:right="-23"/>
        <w:jc w:val="center"/>
        <w:rPr>
          <w:rFonts w:eastAsia="方正小标宋简体"/>
          <w:kern w:val="0"/>
          <w:sz w:val="44"/>
          <w:szCs w:val="44"/>
        </w:rPr>
      </w:pPr>
      <w:bookmarkStart w:id="0" w:name="PO_2_DanWeiMingCheng"/>
      <w:bookmarkStart w:id="1" w:name="PO_2_ChuFaAnZi"/>
      <w:r>
        <w:rPr>
          <w:rFonts w:eastAsia="方正小标宋简体"/>
          <w:kern w:val="0"/>
          <w:sz w:val="44"/>
          <w:szCs w:val="44"/>
        </w:rPr>
        <w:t>天津市生态环境局</w:t>
      </w:r>
      <w:bookmarkEnd w:id="0"/>
    </w:p>
    <w:p w14:paraId="0DEADDE1">
      <w:pPr>
        <w:tabs>
          <w:tab w:val="left" w:pos="4600"/>
        </w:tabs>
        <w:autoSpaceDE w:val="0"/>
        <w:autoSpaceDN w:val="0"/>
        <w:adjustRightInd w:val="0"/>
        <w:snapToGrid w:val="0"/>
        <w:spacing w:line="760" w:lineRule="exact"/>
        <w:ind w:right="-119"/>
        <w:jc w:val="center"/>
        <w:rPr>
          <w:rFonts w:eastAsia="方正小标宋简体"/>
          <w:spacing w:val="1"/>
          <w:kern w:val="0"/>
          <w:sz w:val="44"/>
          <w:szCs w:val="44"/>
        </w:rPr>
      </w:pPr>
      <w:r>
        <w:rPr>
          <w:rFonts w:eastAsia="方正小标宋简体"/>
          <w:spacing w:val="1"/>
          <w:kern w:val="0"/>
          <w:sz w:val="44"/>
          <w:szCs w:val="44"/>
        </w:rPr>
        <w:t>行政处</w:t>
      </w:r>
      <w:r>
        <w:rPr>
          <w:rFonts w:eastAsia="方正小标宋简体"/>
          <w:kern w:val="0"/>
          <w:sz w:val="44"/>
          <w:szCs w:val="44"/>
        </w:rPr>
        <w:t>罚决</w:t>
      </w:r>
      <w:r>
        <w:rPr>
          <w:rFonts w:eastAsia="方正小标宋简体"/>
          <w:spacing w:val="1"/>
          <w:kern w:val="0"/>
          <w:sz w:val="44"/>
          <w:szCs w:val="44"/>
        </w:rPr>
        <w:t>定书</w:t>
      </w:r>
    </w:p>
    <w:p w14:paraId="04260C82">
      <w:pPr>
        <w:tabs>
          <w:tab w:val="left" w:pos="4600"/>
        </w:tabs>
        <w:autoSpaceDE w:val="0"/>
        <w:autoSpaceDN w:val="0"/>
        <w:adjustRightInd w:val="0"/>
        <w:snapToGrid w:val="0"/>
        <w:spacing w:line="360" w:lineRule="auto"/>
        <w:ind w:right="-119"/>
        <w:jc w:val="center"/>
        <w:rPr>
          <w:rFonts w:eastAsia="仿宋_GB2312"/>
          <w:spacing w:val="1"/>
          <w:kern w:val="0"/>
          <w:position w:val="-2"/>
          <w:sz w:val="21"/>
          <w:szCs w:val="21"/>
        </w:rPr>
      </w:pPr>
    </w:p>
    <w:p w14:paraId="262C9CC4">
      <w:pPr>
        <w:tabs>
          <w:tab w:val="left" w:pos="4600"/>
        </w:tabs>
        <w:autoSpaceDE w:val="0"/>
        <w:autoSpaceDN w:val="0"/>
        <w:adjustRightInd w:val="0"/>
        <w:snapToGrid w:val="0"/>
        <w:spacing w:line="360" w:lineRule="auto"/>
        <w:ind w:right="-119"/>
        <w:jc w:val="center"/>
        <w:rPr>
          <w:rFonts w:eastAsia="仿宋_GB2312"/>
          <w:kern w:val="0"/>
          <w:position w:val="-2"/>
          <w:sz w:val="32"/>
          <w:szCs w:val="32"/>
        </w:rPr>
      </w:pPr>
      <w:r>
        <w:rPr>
          <w:rFonts w:eastAsia="仿宋_GB2312"/>
          <w:spacing w:val="1"/>
          <w:kern w:val="0"/>
          <w:position w:val="-2"/>
          <w:sz w:val="32"/>
          <w:szCs w:val="32"/>
        </w:rPr>
        <w:t>津市</w:t>
      </w:r>
      <w:bookmarkEnd w:id="1"/>
      <w:r>
        <w:rPr>
          <w:rFonts w:eastAsia="仿宋_GB2312"/>
          <w:spacing w:val="1"/>
          <w:kern w:val="0"/>
          <w:position w:val="-2"/>
          <w:sz w:val="32"/>
          <w:szCs w:val="32"/>
        </w:rPr>
        <w:t>环罚</w:t>
      </w:r>
      <w:bookmarkStart w:id="2" w:name="PO_7_NianDuBianHao"/>
      <w:r>
        <w:rPr>
          <w:rFonts w:eastAsia="仿宋_GB2312"/>
          <w:kern w:val="0"/>
          <w:position w:val="-2"/>
          <w:sz w:val="32"/>
          <w:szCs w:val="32"/>
        </w:rPr>
        <w:t>〔</w:t>
      </w:r>
      <w:bookmarkEnd w:id="2"/>
      <w:r>
        <w:rPr>
          <w:rFonts w:hint="eastAsia" w:eastAsia="仿宋_GB2312"/>
          <w:kern w:val="0"/>
          <w:position w:val="-2"/>
          <w:sz w:val="32"/>
          <w:szCs w:val="32"/>
        </w:rPr>
        <w:t>2024</w:t>
      </w:r>
      <w:r>
        <w:rPr>
          <w:rFonts w:eastAsia="仿宋_GB2312"/>
          <w:kern w:val="0"/>
          <w:position w:val="-2"/>
          <w:sz w:val="32"/>
          <w:szCs w:val="32"/>
        </w:rPr>
        <w:t>〕</w:t>
      </w:r>
      <w:r>
        <w:rPr>
          <w:rFonts w:hint="eastAsia" w:eastAsia="仿宋_GB2312"/>
          <w:kern w:val="0"/>
          <w:sz w:val="32"/>
          <w:szCs w:val="32"/>
        </w:rPr>
        <w:t>1</w:t>
      </w:r>
      <w:r>
        <w:rPr>
          <w:rFonts w:eastAsia="仿宋_GB2312"/>
          <w:kern w:val="0"/>
          <w:sz w:val="32"/>
          <w:szCs w:val="32"/>
        </w:rPr>
        <w:t>35</w:t>
      </w:r>
      <w:r>
        <w:rPr>
          <w:rFonts w:eastAsia="仿宋_GB2312"/>
          <w:kern w:val="0"/>
          <w:position w:val="-2"/>
          <w:sz w:val="32"/>
          <w:szCs w:val="32"/>
        </w:rPr>
        <w:t>号</w:t>
      </w:r>
    </w:p>
    <w:p w14:paraId="772D91D5">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eastAsia="仿宋_GB2312"/>
          <w:kern w:val="0"/>
          <w:sz w:val="21"/>
          <w:szCs w:val="21"/>
        </w:rPr>
      </w:pPr>
    </w:p>
    <w:p w14:paraId="2436EAEB">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hint="eastAsia" w:eastAsia="仿宋_GB2312"/>
          <w:kern w:val="0"/>
          <w:sz w:val="32"/>
          <w:szCs w:val="32"/>
        </w:rPr>
      </w:pPr>
      <w:r>
        <w:rPr>
          <w:rFonts w:hint="eastAsia" w:eastAsia="仿宋_GB2312"/>
          <w:kern w:val="0"/>
          <w:sz w:val="32"/>
          <w:szCs w:val="32"/>
        </w:rPr>
        <w:t>当事人名称：天津市大港汽车配件弹簧厂</w:t>
      </w:r>
    </w:p>
    <w:p w14:paraId="1298A471">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hint="eastAsia" w:eastAsia="仿宋_GB2312"/>
          <w:kern w:val="0"/>
          <w:sz w:val="32"/>
          <w:szCs w:val="32"/>
        </w:rPr>
      </w:pPr>
      <w:r>
        <w:rPr>
          <w:rFonts w:hint="eastAsia" w:eastAsia="仿宋_GB2312"/>
          <w:kern w:val="0"/>
          <w:sz w:val="32"/>
          <w:szCs w:val="32"/>
        </w:rPr>
        <w:t>统一社会信用代码：91120116103693508U</w:t>
      </w:r>
    </w:p>
    <w:p w14:paraId="1D14C682">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hint="eastAsia" w:eastAsia="仿宋_GB2312"/>
          <w:kern w:val="0"/>
          <w:sz w:val="32"/>
          <w:szCs w:val="32"/>
        </w:rPr>
      </w:pPr>
      <w:r>
        <w:rPr>
          <w:rFonts w:hint="eastAsia" w:eastAsia="仿宋_GB2312"/>
          <w:kern w:val="0"/>
          <w:sz w:val="32"/>
          <w:szCs w:val="32"/>
        </w:rPr>
        <w:t>住所：天津市滨海新区大港中塘镇薛卫台村</w:t>
      </w:r>
    </w:p>
    <w:p w14:paraId="29670DEB">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kern w:val="0"/>
          <w:sz w:val="32"/>
          <w:szCs w:val="32"/>
        </w:rPr>
      </w:pPr>
      <w:r>
        <w:rPr>
          <w:rFonts w:hint="eastAsia" w:eastAsia="仿宋_GB2312"/>
          <w:kern w:val="0"/>
          <w:sz w:val="32"/>
          <w:szCs w:val="32"/>
        </w:rPr>
        <w:t>法定代表人：刘宝连</w:t>
      </w:r>
    </w:p>
    <w:p w14:paraId="2F4DB547">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kern w:val="0"/>
          <w:sz w:val="32"/>
          <w:szCs w:val="32"/>
        </w:rPr>
      </w:pPr>
      <w:r>
        <w:rPr>
          <w:rFonts w:eastAsia="仿宋_GB2312"/>
          <w:kern w:val="0"/>
          <w:sz w:val="32"/>
          <w:szCs w:val="32"/>
        </w:rPr>
        <w:t xml:space="preserve">    你单位环境违法</w:t>
      </w:r>
      <w:r>
        <w:rPr>
          <w:rFonts w:eastAsia="仿宋_GB2312"/>
          <w:kern w:val="0"/>
          <w:position w:val="-2"/>
          <w:sz w:val="32"/>
          <w:szCs w:val="32"/>
        </w:rPr>
        <w:t>一案，我局经调查，现已审查终结。</w:t>
      </w:r>
    </w:p>
    <w:p w14:paraId="33F3249E">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ind w:firstLine="640" w:firstLineChars="200"/>
        <w:jc w:val="left"/>
        <w:rPr>
          <w:rFonts w:eastAsia="黑体"/>
          <w:kern w:val="0"/>
          <w:sz w:val="32"/>
          <w:szCs w:val="32"/>
        </w:rPr>
      </w:pPr>
      <w:r>
        <w:rPr>
          <w:rFonts w:eastAsia="黑体"/>
          <w:kern w:val="0"/>
          <w:sz w:val="32"/>
          <w:szCs w:val="32"/>
        </w:rPr>
        <w:t>一、调查情况及发现的环境违法事实、证据和陈述申辩（听证）及采纳情况</w:t>
      </w:r>
    </w:p>
    <w:p w14:paraId="02C73FF7">
      <w:pPr>
        <w:tabs>
          <w:tab w:val="left" w:pos="8940"/>
        </w:tabs>
        <w:autoSpaceDE w:val="0"/>
        <w:autoSpaceDN w:val="0"/>
        <w:adjustRightInd w:val="0"/>
        <w:snapToGrid w:val="0"/>
        <w:spacing w:line="360" w:lineRule="auto"/>
        <w:ind w:firstLine="640" w:firstLineChars="200"/>
        <w:rPr>
          <w:rFonts w:hint="eastAsia" w:eastAsia="仿宋_GB2312"/>
          <w:sz w:val="32"/>
          <w:szCs w:val="32"/>
        </w:rPr>
      </w:pPr>
      <w:r>
        <w:rPr>
          <w:rFonts w:hint="eastAsia" w:eastAsia="仿宋_GB2312"/>
          <w:sz w:val="32"/>
          <w:szCs w:val="32"/>
        </w:rPr>
        <w:t>我局于2024年7月31日对你单位进行了调查，根据你单位《天津市大港汽车配件弹簧厂二期项目现状环境影响评估报告》《关于天津市大港汽车配件弹簧厂二期项目现状环境影响评估报告的备案意见》（津滨审批环〔2016〕192号）、《天津市大港汽车配件弹簧厂螺旋弹簧生产线升级改造项目建设项目环境影响报告表》，你单位加热、淬火工序产生油雾、TRVOC、非甲烷总烃，淬火工序产生的废气经淬火槽上方集气罩收集后，经静电式油烟净化器+活性炭吸附箱处理后排放。按照《天津市大港汽车配件弹簧厂二期项目现状环境影响评估报告》，你单位建设四条淬火线，将其中一条淬火线由稳定杆生产车间搬迁安装至样品试制车间。经调查，发现你单位实施了以下环境违法行为：</w:t>
      </w:r>
    </w:p>
    <w:p w14:paraId="24219CE1">
      <w:pPr>
        <w:tabs>
          <w:tab w:val="left" w:pos="8940"/>
        </w:tabs>
        <w:autoSpaceDE w:val="0"/>
        <w:autoSpaceDN w:val="0"/>
        <w:adjustRightInd w:val="0"/>
        <w:snapToGrid w:val="0"/>
        <w:spacing w:line="360" w:lineRule="auto"/>
        <w:ind w:firstLine="640" w:firstLineChars="200"/>
        <w:rPr>
          <w:rFonts w:hint="eastAsia" w:eastAsia="仿宋_GB2312"/>
          <w:sz w:val="32"/>
          <w:szCs w:val="32"/>
        </w:rPr>
      </w:pPr>
      <w:r>
        <w:rPr>
          <w:rFonts w:hint="eastAsia" w:eastAsia="仿宋_GB2312"/>
          <w:sz w:val="32"/>
          <w:szCs w:val="32"/>
        </w:rPr>
        <w:t>2024年7月31日现场检查时，你单位样品试制车间一条淬火线正在生产，该条淬火线建设了一套集气罩，未安装配套的“静电式油烟净化器+活性炭吸附箱”污染防治设施。</w:t>
      </w:r>
    </w:p>
    <w:p w14:paraId="31F8B695">
      <w:pPr>
        <w:tabs>
          <w:tab w:val="left" w:pos="8940"/>
        </w:tabs>
        <w:autoSpaceDE w:val="0"/>
        <w:autoSpaceDN w:val="0"/>
        <w:adjustRightInd w:val="0"/>
        <w:snapToGrid w:val="0"/>
        <w:spacing w:line="360" w:lineRule="auto"/>
        <w:ind w:firstLine="640" w:firstLineChars="200"/>
        <w:rPr>
          <w:rFonts w:eastAsia="仿宋_GB2312"/>
          <w:sz w:val="32"/>
          <w:szCs w:val="32"/>
        </w:rPr>
      </w:pPr>
      <w:r>
        <w:rPr>
          <w:rFonts w:hint="eastAsia" w:eastAsia="仿宋_GB2312"/>
          <w:sz w:val="32"/>
          <w:szCs w:val="32"/>
        </w:rPr>
        <w:t>以上事实，有《天津市生态环境局现场检查（勘察）笔录》《天津市生态环境局调查询问笔录》《天津市大港汽车配件弹簧厂二期项目现状环境影响评估报告》《关于天津市大港汽车配件弹簧厂二期项目现状环境影响评估报告的备案意见》（津滨审批环〔2016〕192号）、《天津市大港汽车配件弹簧厂螺旋弹簧生产线升级改造项目建设项目环境影响报告表》、现场拍摄的视频以及营业执照复印件等证据为凭。</w:t>
      </w:r>
    </w:p>
    <w:p w14:paraId="155D3CF6">
      <w:pPr>
        <w:tabs>
          <w:tab w:val="left" w:pos="8940"/>
        </w:tabs>
        <w:autoSpaceDE w:val="0"/>
        <w:autoSpaceDN w:val="0"/>
        <w:adjustRightInd w:val="0"/>
        <w:snapToGrid w:val="0"/>
        <w:spacing w:line="360" w:lineRule="auto"/>
        <w:ind w:firstLine="640" w:firstLineChars="200"/>
        <w:rPr>
          <w:rFonts w:eastAsia="仿宋_GB2312"/>
          <w:kern w:val="0"/>
          <w:sz w:val="32"/>
          <w:szCs w:val="32"/>
        </w:rPr>
      </w:pPr>
      <w:r>
        <w:rPr>
          <w:rFonts w:eastAsia="仿宋_GB2312"/>
          <w:sz w:val="32"/>
          <w:szCs w:val="32"/>
        </w:rPr>
        <w:t>你单位上述行为违反了</w:t>
      </w:r>
      <w:r>
        <w:rPr>
          <w:rFonts w:hint="eastAsia" w:eastAsia="仿宋_GB2312"/>
          <w:sz w:val="32"/>
          <w:szCs w:val="32"/>
        </w:rPr>
        <w:t>《天津市大气污染防治条例》第十九条第一款的规定，</w:t>
      </w:r>
      <w:r>
        <w:rPr>
          <w:rFonts w:eastAsia="仿宋_GB2312"/>
          <w:kern w:val="0"/>
          <w:sz w:val="32"/>
          <w:szCs w:val="32"/>
        </w:rPr>
        <w:t xml:space="preserve">依法应当予以处罚。 </w:t>
      </w:r>
    </w:p>
    <w:p w14:paraId="72FC4104">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eastAsia="仿宋_GB2312"/>
          <w:kern w:val="0"/>
          <w:sz w:val="32"/>
          <w:szCs w:val="32"/>
        </w:rPr>
      </w:pPr>
      <w:r>
        <w:rPr>
          <w:rFonts w:eastAsia="仿宋_GB2312"/>
          <w:kern w:val="0"/>
          <w:sz w:val="32"/>
          <w:szCs w:val="32"/>
        </w:rPr>
        <w:t>我局于</w:t>
      </w:r>
      <w:r>
        <w:rPr>
          <w:rFonts w:hint="eastAsia" w:eastAsia="仿宋_GB2312"/>
          <w:kern w:val="0"/>
          <w:sz w:val="32"/>
          <w:szCs w:val="32"/>
        </w:rPr>
        <w:t>2024</w:t>
      </w:r>
      <w:r>
        <w:rPr>
          <w:rFonts w:eastAsia="仿宋_GB2312"/>
          <w:kern w:val="0"/>
          <w:sz w:val="32"/>
          <w:szCs w:val="32"/>
        </w:rPr>
        <w:t>年</w:t>
      </w:r>
      <w:r>
        <w:rPr>
          <w:rFonts w:hint="eastAsia" w:eastAsia="仿宋_GB2312"/>
          <w:kern w:val="0"/>
          <w:sz w:val="32"/>
          <w:szCs w:val="32"/>
        </w:rPr>
        <w:t>1</w:t>
      </w:r>
      <w:r>
        <w:rPr>
          <w:rFonts w:eastAsia="仿宋_GB2312"/>
          <w:kern w:val="0"/>
          <w:sz w:val="32"/>
          <w:szCs w:val="32"/>
        </w:rPr>
        <w:t>0月</w:t>
      </w:r>
      <w:r>
        <w:rPr>
          <w:rFonts w:hint="eastAsia" w:eastAsia="仿宋_GB2312"/>
          <w:kern w:val="0"/>
          <w:sz w:val="32"/>
          <w:szCs w:val="32"/>
        </w:rPr>
        <w:t>2</w:t>
      </w:r>
      <w:r>
        <w:rPr>
          <w:rFonts w:eastAsia="仿宋_GB2312"/>
          <w:kern w:val="0"/>
          <w:sz w:val="32"/>
          <w:szCs w:val="32"/>
        </w:rPr>
        <w:t>2日以《天津市生态环境局行政</w:t>
      </w:r>
      <w:r>
        <w:rPr>
          <w:rFonts w:hint="eastAsia" w:eastAsia="仿宋_GB2312"/>
          <w:kern w:val="0"/>
          <w:sz w:val="32"/>
          <w:szCs w:val="32"/>
        </w:rPr>
        <w:t>处罚事先</w:t>
      </w:r>
      <w:r>
        <w:rPr>
          <w:rFonts w:eastAsia="仿宋_GB2312"/>
          <w:kern w:val="0"/>
          <w:sz w:val="32"/>
          <w:szCs w:val="32"/>
        </w:rPr>
        <w:t>告知书》（津市环</w:t>
      </w:r>
      <w:r>
        <w:rPr>
          <w:rFonts w:hint="eastAsia" w:eastAsia="仿宋_GB2312"/>
          <w:kern w:val="0"/>
          <w:sz w:val="32"/>
          <w:szCs w:val="32"/>
        </w:rPr>
        <w:t>事</w:t>
      </w:r>
      <w:r>
        <w:rPr>
          <w:rFonts w:eastAsia="仿宋_GB2312"/>
          <w:kern w:val="0"/>
          <w:sz w:val="32"/>
          <w:szCs w:val="32"/>
        </w:rPr>
        <w:t>告〔</w:t>
      </w:r>
      <w:r>
        <w:rPr>
          <w:rFonts w:hint="eastAsia" w:eastAsia="仿宋_GB2312"/>
          <w:kern w:val="0"/>
          <w:sz w:val="32"/>
          <w:szCs w:val="32"/>
        </w:rPr>
        <w:t>2024</w:t>
      </w:r>
      <w:r>
        <w:rPr>
          <w:rFonts w:eastAsia="仿宋_GB2312"/>
          <w:kern w:val="0"/>
          <w:sz w:val="32"/>
          <w:szCs w:val="32"/>
        </w:rPr>
        <w:t>〕</w:t>
      </w:r>
      <w:r>
        <w:rPr>
          <w:rFonts w:hint="eastAsia" w:eastAsia="仿宋_GB2312"/>
          <w:kern w:val="0"/>
          <w:sz w:val="32"/>
          <w:szCs w:val="32"/>
        </w:rPr>
        <w:t>1</w:t>
      </w:r>
      <w:r>
        <w:rPr>
          <w:rFonts w:eastAsia="仿宋_GB2312"/>
          <w:kern w:val="0"/>
          <w:sz w:val="32"/>
          <w:szCs w:val="32"/>
        </w:rPr>
        <w:t>18号），告知你单位违法事实、处罚依据和拟作出的处罚决定，并明确告知你单位有</w:t>
      </w:r>
      <w:r>
        <w:rPr>
          <w:rFonts w:hint="eastAsia" w:eastAsia="仿宋_GB2312"/>
          <w:kern w:val="0"/>
          <w:sz w:val="32"/>
          <w:szCs w:val="32"/>
        </w:rPr>
        <w:t>权利提出</w:t>
      </w:r>
      <w:r>
        <w:rPr>
          <w:rFonts w:eastAsia="仿宋_GB2312"/>
          <w:kern w:val="0"/>
          <w:sz w:val="32"/>
          <w:szCs w:val="32"/>
        </w:rPr>
        <w:t>陈述</w:t>
      </w:r>
      <w:r>
        <w:rPr>
          <w:rFonts w:hint="eastAsia" w:eastAsia="仿宋_GB2312"/>
          <w:kern w:val="0"/>
          <w:sz w:val="32"/>
          <w:szCs w:val="32"/>
        </w:rPr>
        <w:t>、申辩意见</w:t>
      </w:r>
      <w:r>
        <w:rPr>
          <w:rFonts w:eastAsia="仿宋_GB2312"/>
          <w:kern w:val="0"/>
          <w:sz w:val="32"/>
          <w:szCs w:val="32"/>
        </w:rPr>
        <w:t>。</w:t>
      </w:r>
      <w:r>
        <w:rPr>
          <w:rFonts w:hint="eastAsia" w:eastAsia="仿宋_GB2312"/>
          <w:kern w:val="0"/>
          <w:sz w:val="32"/>
          <w:szCs w:val="32"/>
        </w:rPr>
        <w:t>我局于2024年1</w:t>
      </w:r>
      <w:r>
        <w:rPr>
          <w:rFonts w:eastAsia="仿宋_GB2312"/>
          <w:kern w:val="0"/>
          <w:sz w:val="32"/>
          <w:szCs w:val="32"/>
        </w:rPr>
        <w:t>0</w:t>
      </w:r>
      <w:r>
        <w:rPr>
          <w:rFonts w:hint="eastAsia" w:eastAsia="仿宋_GB2312"/>
          <w:kern w:val="0"/>
          <w:sz w:val="32"/>
          <w:szCs w:val="32"/>
        </w:rPr>
        <w:t>月2</w:t>
      </w:r>
      <w:r>
        <w:rPr>
          <w:rFonts w:eastAsia="仿宋_GB2312"/>
          <w:kern w:val="0"/>
          <w:sz w:val="32"/>
          <w:szCs w:val="32"/>
        </w:rPr>
        <w:t>9</w:t>
      </w:r>
      <w:r>
        <w:rPr>
          <w:rFonts w:hint="eastAsia" w:eastAsia="仿宋_GB2312"/>
          <w:kern w:val="0"/>
          <w:sz w:val="32"/>
          <w:szCs w:val="32"/>
        </w:rPr>
        <w:t>日向你单位直接送达上述文件。你单位逾期未向我局提出陈述、申辩意见。</w:t>
      </w:r>
    </w:p>
    <w:p w14:paraId="1748C898">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kern w:val="0"/>
          <w:sz w:val="32"/>
          <w:szCs w:val="32"/>
        </w:rPr>
      </w:pPr>
      <w:r>
        <w:rPr>
          <w:rFonts w:eastAsia="仿宋_GB2312"/>
          <w:kern w:val="0"/>
          <w:sz w:val="32"/>
          <w:szCs w:val="32"/>
        </w:rPr>
        <w:t>以上事实，有《天津市生态环境局行政处罚</w:t>
      </w:r>
      <w:r>
        <w:rPr>
          <w:rFonts w:hint="eastAsia" w:eastAsia="仿宋_GB2312"/>
          <w:kern w:val="0"/>
          <w:sz w:val="32"/>
          <w:szCs w:val="32"/>
        </w:rPr>
        <w:t>事先</w:t>
      </w:r>
      <w:r>
        <w:rPr>
          <w:rFonts w:eastAsia="仿宋_GB2312"/>
          <w:kern w:val="0"/>
          <w:sz w:val="32"/>
          <w:szCs w:val="32"/>
        </w:rPr>
        <w:t>告知书》（津市环</w:t>
      </w:r>
      <w:r>
        <w:rPr>
          <w:rFonts w:hint="eastAsia" w:eastAsia="仿宋_GB2312"/>
          <w:kern w:val="0"/>
          <w:sz w:val="32"/>
          <w:szCs w:val="32"/>
        </w:rPr>
        <w:t>事</w:t>
      </w:r>
      <w:r>
        <w:rPr>
          <w:rFonts w:eastAsia="仿宋_GB2312"/>
          <w:kern w:val="0"/>
          <w:sz w:val="32"/>
          <w:szCs w:val="32"/>
        </w:rPr>
        <w:t>告〔</w:t>
      </w:r>
      <w:r>
        <w:rPr>
          <w:rFonts w:hint="eastAsia" w:eastAsia="仿宋_GB2312"/>
          <w:kern w:val="0"/>
          <w:sz w:val="32"/>
          <w:szCs w:val="32"/>
        </w:rPr>
        <w:t>2024</w:t>
      </w:r>
      <w:r>
        <w:rPr>
          <w:rFonts w:eastAsia="仿宋_GB2312"/>
          <w:kern w:val="0"/>
          <w:sz w:val="32"/>
          <w:szCs w:val="32"/>
        </w:rPr>
        <w:t>〕</w:t>
      </w:r>
      <w:r>
        <w:rPr>
          <w:rFonts w:hint="eastAsia" w:eastAsia="仿宋_GB2312"/>
          <w:kern w:val="0"/>
          <w:sz w:val="32"/>
          <w:szCs w:val="32"/>
        </w:rPr>
        <w:t>1</w:t>
      </w:r>
      <w:r>
        <w:rPr>
          <w:rFonts w:eastAsia="仿宋_GB2312"/>
          <w:kern w:val="0"/>
          <w:sz w:val="32"/>
          <w:szCs w:val="32"/>
        </w:rPr>
        <w:t>18号）</w:t>
      </w:r>
      <w:r>
        <w:rPr>
          <w:rFonts w:hint="eastAsia" w:eastAsia="仿宋_GB2312"/>
          <w:kern w:val="0"/>
          <w:sz w:val="32"/>
          <w:szCs w:val="32"/>
        </w:rPr>
        <w:t>及《</w:t>
      </w:r>
      <w:r>
        <w:rPr>
          <w:rFonts w:eastAsia="仿宋_GB2312"/>
          <w:kern w:val="0"/>
          <w:sz w:val="32"/>
          <w:szCs w:val="32"/>
        </w:rPr>
        <w:t>天津市生态环境局</w:t>
      </w:r>
      <w:r>
        <w:rPr>
          <w:rFonts w:hint="eastAsia" w:eastAsia="仿宋_GB2312"/>
          <w:kern w:val="0"/>
          <w:sz w:val="32"/>
          <w:szCs w:val="32"/>
        </w:rPr>
        <w:t>送达回证》</w:t>
      </w:r>
      <w:r>
        <w:rPr>
          <w:rFonts w:eastAsia="仿宋_GB2312"/>
          <w:kern w:val="0"/>
          <w:sz w:val="32"/>
          <w:szCs w:val="32"/>
        </w:rPr>
        <w:t>等证据为凭。</w:t>
      </w:r>
    </w:p>
    <w:p w14:paraId="47F89E04">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kern w:val="0"/>
          <w:sz w:val="32"/>
          <w:szCs w:val="32"/>
        </w:rPr>
      </w:pPr>
      <w:r>
        <w:rPr>
          <w:rFonts w:hint="eastAsia" w:eastAsia="仿宋_GB2312"/>
          <w:kern w:val="0"/>
          <w:sz w:val="32"/>
          <w:szCs w:val="32"/>
        </w:rPr>
        <w:t>经集体审议，本案违法事实清楚、执法程序合法、法律适用准确、自由裁量结论合理。</w:t>
      </w:r>
      <w:r>
        <w:rPr>
          <w:rFonts w:eastAsia="仿宋_GB2312"/>
          <w:kern w:val="0"/>
          <w:sz w:val="32"/>
          <w:szCs w:val="32"/>
        </w:rPr>
        <w:t xml:space="preserve">  </w:t>
      </w:r>
    </w:p>
    <w:p w14:paraId="6B85E2F6">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黑体"/>
          <w:kern w:val="0"/>
          <w:sz w:val="32"/>
          <w:szCs w:val="32"/>
        </w:rPr>
      </w:pPr>
      <w:r>
        <w:rPr>
          <w:rFonts w:eastAsia="黑体"/>
          <w:kern w:val="0"/>
          <w:sz w:val="32"/>
          <w:szCs w:val="32"/>
        </w:rPr>
        <w:t>二、</w:t>
      </w:r>
      <w:r>
        <w:rPr>
          <w:rFonts w:hint="eastAsia" w:eastAsia="黑体"/>
          <w:kern w:val="0"/>
          <w:sz w:val="32"/>
          <w:szCs w:val="32"/>
        </w:rPr>
        <w:t>责令改正和行政处罚的依据、种类</w:t>
      </w:r>
    </w:p>
    <w:p w14:paraId="1331DAEA">
      <w:pPr>
        <w:tabs>
          <w:tab w:val="left" w:pos="8940"/>
        </w:tabs>
        <w:autoSpaceDE w:val="0"/>
        <w:autoSpaceDN w:val="0"/>
        <w:adjustRightInd w:val="0"/>
        <w:snapToGrid w:val="0"/>
        <w:spacing w:line="360" w:lineRule="auto"/>
        <w:ind w:firstLine="640" w:firstLineChars="200"/>
        <w:jc w:val="left"/>
        <w:rPr>
          <w:rFonts w:hint="eastAsia" w:eastAsia="仿宋_GB2312"/>
          <w:kern w:val="0"/>
          <w:sz w:val="32"/>
          <w:szCs w:val="32"/>
        </w:rPr>
      </w:pPr>
      <w:r>
        <w:rPr>
          <w:rFonts w:hint="eastAsia" w:eastAsia="仿宋_GB2312"/>
          <w:kern w:val="0"/>
          <w:sz w:val="32"/>
          <w:szCs w:val="32"/>
        </w:rPr>
        <w:t>依据《天津市大气污染防治条例》第七十七条第二项的规定，我局：</w:t>
      </w:r>
    </w:p>
    <w:p w14:paraId="563D5655">
      <w:pPr>
        <w:tabs>
          <w:tab w:val="left" w:pos="8940"/>
        </w:tabs>
        <w:autoSpaceDE w:val="0"/>
        <w:autoSpaceDN w:val="0"/>
        <w:adjustRightInd w:val="0"/>
        <w:snapToGrid w:val="0"/>
        <w:spacing w:line="360" w:lineRule="auto"/>
        <w:ind w:firstLine="640" w:firstLineChars="200"/>
        <w:jc w:val="left"/>
        <w:rPr>
          <w:rFonts w:hint="eastAsia" w:eastAsia="仿宋_GB2312"/>
          <w:kern w:val="0"/>
          <w:sz w:val="32"/>
          <w:szCs w:val="32"/>
        </w:rPr>
      </w:pPr>
      <w:r>
        <w:rPr>
          <w:rFonts w:hint="eastAsia" w:eastAsia="仿宋_GB2312"/>
          <w:kern w:val="0"/>
          <w:sz w:val="32"/>
          <w:szCs w:val="32"/>
        </w:rPr>
        <w:t>1.责令你单位立即改正违法行为；</w:t>
      </w:r>
    </w:p>
    <w:p w14:paraId="2448013E">
      <w:pPr>
        <w:tabs>
          <w:tab w:val="left" w:pos="8940"/>
        </w:tabs>
        <w:autoSpaceDE w:val="0"/>
        <w:autoSpaceDN w:val="0"/>
        <w:adjustRightInd w:val="0"/>
        <w:snapToGrid w:val="0"/>
        <w:spacing w:line="360" w:lineRule="auto"/>
        <w:ind w:firstLine="640" w:firstLineChars="200"/>
        <w:jc w:val="left"/>
        <w:rPr>
          <w:rFonts w:eastAsia="仿宋_GB2312"/>
          <w:kern w:val="0"/>
          <w:sz w:val="32"/>
          <w:szCs w:val="32"/>
        </w:rPr>
      </w:pPr>
      <w:r>
        <w:rPr>
          <w:rFonts w:hint="eastAsia" w:eastAsia="仿宋_GB2312"/>
          <w:kern w:val="0"/>
          <w:sz w:val="32"/>
          <w:szCs w:val="32"/>
        </w:rPr>
        <w:t>2.对你单位处罚款十一万元。</w:t>
      </w:r>
    </w:p>
    <w:p w14:paraId="79EE9FF8">
      <w:pPr>
        <w:tabs>
          <w:tab w:val="left" w:pos="8940"/>
        </w:tabs>
        <w:autoSpaceDE w:val="0"/>
        <w:autoSpaceDN w:val="0"/>
        <w:adjustRightInd w:val="0"/>
        <w:snapToGrid w:val="0"/>
        <w:spacing w:line="360" w:lineRule="auto"/>
        <w:ind w:firstLine="640" w:firstLineChars="200"/>
        <w:jc w:val="left"/>
        <w:rPr>
          <w:rFonts w:eastAsia="黑体"/>
          <w:kern w:val="0"/>
          <w:sz w:val="32"/>
          <w:szCs w:val="32"/>
        </w:rPr>
      </w:pPr>
      <w:r>
        <w:rPr>
          <w:rFonts w:eastAsia="黑体"/>
          <w:kern w:val="0"/>
          <w:sz w:val="32"/>
          <w:szCs w:val="32"/>
        </w:rPr>
        <w:t>三、</w:t>
      </w:r>
      <w:r>
        <w:rPr>
          <w:rFonts w:hint="eastAsia" w:eastAsia="黑体"/>
          <w:kern w:val="0"/>
          <w:sz w:val="32"/>
          <w:szCs w:val="32"/>
        </w:rPr>
        <w:t>责令改正和</w:t>
      </w:r>
      <w:r>
        <w:rPr>
          <w:rFonts w:eastAsia="黑体"/>
          <w:kern w:val="0"/>
          <w:sz w:val="32"/>
          <w:szCs w:val="32"/>
        </w:rPr>
        <w:t>处罚决定的履行方式和期限</w:t>
      </w:r>
    </w:p>
    <w:p w14:paraId="4220C134">
      <w:pPr>
        <w:tabs>
          <w:tab w:val="left" w:pos="8940"/>
        </w:tabs>
        <w:autoSpaceDE w:val="0"/>
        <w:autoSpaceDN w:val="0"/>
        <w:adjustRightInd w:val="0"/>
        <w:snapToGrid w:val="0"/>
        <w:spacing w:line="360" w:lineRule="auto"/>
        <w:ind w:firstLine="640" w:firstLineChars="200"/>
        <w:jc w:val="left"/>
        <w:rPr>
          <w:rFonts w:ascii="楷体" w:hAnsi="楷体" w:eastAsia="楷体"/>
          <w:kern w:val="0"/>
          <w:sz w:val="32"/>
          <w:szCs w:val="32"/>
        </w:rPr>
      </w:pPr>
      <w:r>
        <w:rPr>
          <w:rFonts w:ascii="楷体" w:hAnsi="楷体" w:eastAsia="楷体"/>
          <w:kern w:val="0"/>
          <w:sz w:val="32"/>
          <w:szCs w:val="32"/>
        </w:rPr>
        <w:t>（一）关于责令改正的履行方式和期限</w:t>
      </w:r>
    </w:p>
    <w:p w14:paraId="11AD9567">
      <w:pPr>
        <w:tabs>
          <w:tab w:val="left" w:pos="8940"/>
        </w:tabs>
        <w:autoSpaceDE w:val="0"/>
        <w:autoSpaceDN w:val="0"/>
        <w:adjustRightInd w:val="0"/>
        <w:snapToGrid w:val="0"/>
        <w:spacing w:line="360" w:lineRule="auto"/>
        <w:ind w:firstLine="640" w:firstLineChars="200"/>
        <w:jc w:val="left"/>
        <w:rPr>
          <w:rFonts w:eastAsia="仿宋_GB2312"/>
          <w:kern w:val="0"/>
          <w:sz w:val="32"/>
          <w:szCs w:val="32"/>
        </w:rPr>
      </w:pPr>
      <w:r>
        <w:rPr>
          <w:rFonts w:eastAsia="仿宋_GB2312"/>
          <w:kern w:val="0"/>
          <w:sz w:val="32"/>
          <w:szCs w:val="32"/>
        </w:rPr>
        <w:t>你单位应于接到本</w:t>
      </w:r>
      <w:r>
        <w:rPr>
          <w:rFonts w:hint="eastAsia" w:eastAsia="仿宋_GB2312"/>
          <w:kern w:val="0"/>
          <w:sz w:val="32"/>
          <w:szCs w:val="32"/>
        </w:rPr>
        <w:t>处罚</w:t>
      </w:r>
      <w:r>
        <w:rPr>
          <w:rFonts w:eastAsia="仿宋_GB2312"/>
          <w:kern w:val="0"/>
          <w:sz w:val="32"/>
          <w:szCs w:val="32"/>
        </w:rPr>
        <w:t>决定书之日起</w:t>
      </w:r>
      <w:r>
        <w:rPr>
          <w:rFonts w:hint="eastAsia" w:eastAsia="仿宋_GB2312"/>
          <w:kern w:val="0"/>
          <w:sz w:val="32"/>
          <w:szCs w:val="32"/>
        </w:rPr>
        <w:t>立即</w:t>
      </w:r>
      <w:r>
        <w:rPr>
          <w:rFonts w:eastAsia="仿宋_GB2312"/>
          <w:kern w:val="0"/>
          <w:sz w:val="32"/>
          <w:szCs w:val="32"/>
        </w:rPr>
        <w:t>改正违法行为。</w:t>
      </w:r>
      <w:r>
        <w:rPr>
          <w:rFonts w:hint="eastAsia" w:eastAsia="仿宋_GB2312"/>
          <w:kern w:val="0"/>
          <w:sz w:val="32"/>
          <w:szCs w:val="32"/>
        </w:rPr>
        <w:t>你单位应当按照规定使用大气污染防治设施。</w:t>
      </w:r>
    </w:p>
    <w:p w14:paraId="2C69B931">
      <w:pPr>
        <w:tabs>
          <w:tab w:val="left" w:pos="8940"/>
        </w:tabs>
        <w:autoSpaceDE w:val="0"/>
        <w:autoSpaceDN w:val="0"/>
        <w:adjustRightInd w:val="0"/>
        <w:snapToGrid w:val="0"/>
        <w:spacing w:line="360" w:lineRule="auto"/>
        <w:ind w:firstLine="640" w:firstLineChars="200"/>
        <w:jc w:val="left"/>
        <w:rPr>
          <w:rFonts w:ascii="楷体" w:hAnsi="楷体" w:eastAsia="楷体"/>
          <w:kern w:val="0"/>
          <w:sz w:val="32"/>
          <w:szCs w:val="32"/>
        </w:rPr>
      </w:pPr>
      <w:r>
        <w:rPr>
          <w:rFonts w:ascii="楷体" w:hAnsi="楷体" w:eastAsia="楷体"/>
          <w:kern w:val="0"/>
          <w:sz w:val="32"/>
          <w:szCs w:val="32"/>
        </w:rPr>
        <w:t>（二）关于</w:t>
      </w:r>
      <w:r>
        <w:rPr>
          <w:rFonts w:hint="eastAsia" w:ascii="楷体" w:hAnsi="楷体" w:eastAsia="楷体"/>
          <w:kern w:val="0"/>
          <w:sz w:val="32"/>
          <w:szCs w:val="32"/>
        </w:rPr>
        <w:t>处罚决定</w:t>
      </w:r>
      <w:r>
        <w:rPr>
          <w:rFonts w:ascii="楷体" w:hAnsi="楷体" w:eastAsia="楷体"/>
          <w:kern w:val="0"/>
          <w:sz w:val="32"/>
          <w:szCs w:val="32"/>
        </w:rPr>
        <w:t>的履行方式和期限</w:t>
      </w:r>
    </w:p>
    <w:p w14:paraId="2906D64D">
      <w:pPr>
        <w:tabs>
          <w:tab w:val="left" w:pos="8940"/>
        </w:tabs>
        <w:autoSpaceDE w:val="0"/>
        <w:autoSpaceDN w:val="0"/>
        <w:adjustRightInd w:val="0"/>
        <w:snapToGrid w:val="0"/>
        <w:spacing w:line="360" w:lineRule="auto"/>
        <w:ind w:firstLine="640" w:firstLineChars="200"/>
        <w:jc w:val="left"/>
        <w:rPr>
          <w:rFonts w:eastAsia="仿宋_GB2312"/>
          <w:kern w:val="0"/>
          <w:sz w:val="32"/>
          <w:szCs w:val="32"/>
        </w:rPr>
      </w:pPr>
      <w:r>
        <w:rPr>
          <w:rFonts w:hint="eastAsia" w:eastAsia="仿宋_GB2312"/>
          <w:kern w:val="0"/>
          <w:sz w:val="32"/>
          <w:szCs w:val="32"/>
        </w:rPr>
        <w:t>依据</w:t>
      </w:r>
      <w:r>
        <w:rPr>
          <w:rFonts w:eastAsia="仿宋_GB2312"/>
          <w:kern w:val="0"/>
          <w:sz w:val="32"/>
          <w:szCs w:val="32"/>
        </w:rPr>
        <w:t>《中华人民共和国行政处罚法》和《罚款决定与罚款收缴分离实施办法》的</w:t>
      </w:r>
      <w:r>
        <w:rPr>
          <w:rFonts w:hint="eastAsia" w:eastAsia="仿宋_GB2312"/>
          <w:kern w:val="0"/>
          <w:sz w:val="32"/>
          <w:szCs w:val="32"/>
        </w:rPr>
        <w:t>相关</w:t>
      </w:r>
      <w:r>
        <w:rPr>
          <w:rFonts w:eastAsia="仿宋_GB2312"/>
          <w:kern w:val="0"/>
          <w:sz w:val="32"/>
          <w:szCs w:val="32"/>
        </w:rPr>
        <w:t>规定，你单位接到本处罚决定书之日起十五日内</w:t>
      </w:r>
      <w:r>
        <w:rPr>
          <w:rFonts w:hint="eastAsia" w:eastAsia="仿宋_GB2312"/>
          <w:kern w:val="0"/>
          <w:sz w:val="32"/>
          <w:szCs w:val="32"/>
        </w:rPr>
        <w:t>应</w:t>
      </w:r>
      <w:r>
        <w:rPr>
          <w:rFonts w:eastAsia="仿宋_GB2312"/>
          <w:kern w:val="0"/>
          <w:sz w:val="32"/>
          <w:szCs w:val="32"/>
        </w:rPr>
        <w:t>领取《非税收入统一缴款书</w:t>
      </w:r>
      <w:r>
        <w:rPr>
          <w:rFonts w:hint="eastAsia" w:eastAsia="仿宋_GB2312"/>
          <w:kern w:val="0"/>
          <w:sz w:val="32"/>
          <w:szCs w:val="32"/>
        </w:rPr>
        <w:t>（缴款通知书）</w:t>
      </w:r>
      <w:r>
        <w:rPr>
          <w:rFonts w:eastAsia="仿宋_GB2312"/>
          <w:kern w:val="0"/>
          <w:sz w:val="32"/>
          <w:szCs w:val="32"/>
        </w:rPr>
        <w:t>》并缴至指定银行。你单位逾期不缴纳罚款的，我局</w:t>
      </w:r>
      <w:r>
        <w:rPr>
          <w:rFonts w:hint="eastAsia" w:eastAsia="仿宋_GB2312"/>
          <w:kern w:val="0"/>
          <w:sz w:val="32"/>
          <w:szCs w:val="32"/>
        </w:rPr>
        <w:t>可以</w:t>
      </w:r>
      <w:r>
        <w:rPr>
          <w:rFonts w:eastAsia="仿宋_GB2312"/>
          <w:kern w:val="0"/>
          <w:sz w:val="32"/>
          <w:szCs w:val="32"/>
        </w:rPr>
        <w:t xml:space="preserve">依法每日按罚款数额的3%加处罚款。      </w:t>
      </w:r>
    </w:p>
    <w:p w14:paraId="6998ED98">
      <w:pPr>
        <w:tabs>
          <w:tab w:val="left" w:pos="8940"/>
        </w:tabs>
        <w:autoSpaceDE w:val="0"/>
        <w:autoSpaceDN w:val="0"/>
        <w:adjustRightInd w:val="0"/>
        <w:snapToGrid w:val="0"/>
        <w:spacing w:line="360" w:lineRule="auto"/>
        <w:ind w:firstLine="720" w:firstLineChars="225"/>
        <w:jc w:val="left"/>
        <w:rPr>
          <w:rFonts w:eastAsia="黑体"/>
          <w:kern w:val="0"/>
          <w:sz w:val="32"/>
          <w:szCs w:val="32"/>
          <w:u w:val="single"/>
        </w:rPr>
      </w:pPr>
      <w:r>
        <w:rPr>
          <w:rFonts w:eastAsia="黑体"/>
          <w:kern w:val="0"/>
          <w:sz w:val="32"/>
          <w:szCs w:val="32"/>
        </w:rPr>
        <w:t xml:space="preserve">四、申请行政复议或者提起行政诉讼的途径和期限 </w:t>
      </w:r>
    </w:p>
    <w:p w14:paraId="0E9D8659">
      <w:pPr>
        <w:tabs>
          <w:tab w:val="left" w:pos="8940"/>
        </w:tabs>
        <w:autoSpaceDE w:val="0"/>
        <w:autoSpaceDN w:val="0"/>
        <w:adjustRightInd w:val="0"/>
        <w:snapToGrid w:val="0"/>
        <w:spacing w:line="360" w:lineRule="auto"/>
        <w:ind w:firstLine="640" w:firstLineChars="200"/>
        <w:jc w:val="left"/>
        <w:rPr>
          <w:rStyle w:val="13"/>
          <w:rFonts w:eastAsia="仿宋_GB2312"/>
          <w:color w:val="auto"/>
          <w:kern w:val="0"/>
          <w:sz w:val="32"/>
          <w:szCs w:val="32"/>
          <w:u w:val="none"/>
        </w:rPr>
      </w:pPr>
      <w:r>
        <w:rPr>
          <w:rStyle w:val="13"/>
          <w:rFonts w:hint="eastAsia" w:eastAsia="仿宋_GB2312"/>
          <w:color w:val="auto"/>
          <w:kern w:val="0"/>
          <w:sz w:val="32"/>
          <w:szCs w:val="32"/>
          <w:u w:val="none"/>
        </w:rPr>
        <w:t>如对本行政处罚决定不服，你单位可在收到本决定书之日起60日内向天津市人民政府申请行政复议（天津市司法局，咨询电话：23082169；互联网申请邮箱：tjsxzfy@tj.gov.cn），也可在6个月内直接向天津铁路运输法院提起行政诉讼。申请行政复议或者提起行政诉讼，不停止本行政处罚决定的执行。逾期不申请行政复议，不提起行政诉讼，又不履行本行政处罚决定的，我局将依法向天津市南开区人民法院申请强制执行。</w:t>
      </w:r>
    </w:p>
    <w:p w14:paraId="6491A548">
      <w:pPr>
        <w:tabs>
          <w:tab w:val="left" w:pos="5980"/>
          <w:tab w:val="left" w:pos="8460"/>
          <w:tab w:val="left" w:pos="9265"/>
        </w:tabs>
        <w:autoSpaceDE w:val="0"/>
        <w:autoSpaceDN w:val="0"/>
        <w:adjustRightInd w:val="0"/>
        <w:snapToGrid w:val="0"/>
        <w:spacing w:line="360" w:lineRule="auto"/>
        <w:ind w:right="-20"/>
        <w:jc w:val="left"/>
        <w:rPr>
          <w:rFonts w:eastAsia="仿宋_GB2312"/>
          <w:kern w:val="0"/>
          <w:sz w:val="32"/>
          <w:szCs w:val="32"/>
        </w:rPr>
      </w:pPr>
      <w:bookmarkStart w:id="4" w:name="_GoBack"/>
      <w:bookmarkEnd w:id="4"/>
    </w:p>
    <w:p w14:paraId="4B79937B">
      <w:pPr>
        <w:autoSpaceDE w:val="0"/>
        <w:autoSpaceDN w:val="0"/>
        <w:adjustRightInd w:val="0"/>
        <w:snapToGrid w:val="0"/>
        <w:spacing w:line="360" w:lineRule="auto"/>
        <w:jc w:val="left"/>
        <w:rPr>
          <w:rFonts w:eastAsia="仿宋_GB2312"/>
          <w:kern w:val="0"/>
          <w:sz w:val="32"/>
          <w:szCs w:val="32"/>
        </w:rPr>
      </w:pPr>
      <w:r>
        <w:rPr>
          <w:rFonts w:eastAsia="仿宋_GB2312"/>
          <w:kern w:val="0"/>
          <w:sz w:val="32"/>
          <w:szCs w:val="32"/>
        </w:rPr>
        <w:t xml:space="preserve">                                     </w:t>
      </w:r>
    </w:p>
    <w:p w14:paraId="52D15E16">
      <w:pPr>
        <w:autoSpaceDE w:val="0"/>
        <w:autoSpaceDN w:val="0"/>
        <w:adjustRightInd w:val="0"/>
        <w:snapToGrid w:val="0"/>
        <w:spacing w:line="360" w:lineRule="auto"/>
        <w:jc w:val="left"/>
        <w:rPr>
          <w:rFonts w:eastAsia="仿宋_GB2312"/>
          <w:kern w:val="0"/>
          <w:sz w:val="32"/>
          <w:szCs w:val="32"/>
        </w:rPr>
      </w:pPr>
      <w:r>
        <w:rPr>
          <w:rFonts w:eastAsia="仿宋_GB2312"/>
          <w:kern w:val="0"/>
          <w:sz w:val="32"/>
          <w:szCs w:val="32"/>
        </w:rPr>
        <w:t xml:space="preserve">                            </w:t>
      </w:r>
    </w:p>
    <w:p w14:paraId="6D57243C">
      <w:pPr>
        <w:adjustRightInd w:val="0"/>
        <w:snapToGrid w:val="0"/>
        <w:spacing w:line="360" w:lineRule="auto"/>
        <w:jc w:val="center"/>
        <w:rPr>
          <w:rFonts w:eastAsia="仿宋_GB2312"/>
          <w:kern w:val="0"/>
          <w:sz w:val="32"/>
          <w:szCs w:val="32"/>
        </w:rPr>
      </w:pPr>
      <w:r>
        <w:rPr>
          <w:rFonts w:eastAsia="仿宋_GB2312"/>
          <w:kern w:val="0"/>
          <w:sz w:val="32"/>
          <w:szCs w:val="32"/>
        </w:rPr>
        <w:t xml:space="preserve">                           </w:t>
      </w:r>
      <w:bookmarkStart w:id="3" w:name="PO_7_QianFaShiJian"/>
      <w:r>
        <w:rPr>
          <w:rFonts w:hint="eastAsia" w:eastAsia="仿宋_GB2312"/>
          <w:kern w:val="0"/>
          <w:sz w:val="32"/>
          <w:szCs w:val="32"/>
        </w:rPr>
        <w:t>2024</w:t>
      </w:r>
      <w:r>
        <w:rPr>
          <w:rFonts w:eastAsia="仿宋_GB2312"/>
          <w:kern w:val="0"/>
          <w:sz w:val="32"/>
          <w:szCs w:val="32"/>
        </w:rPr>
        <w:t>年</w:t>
      </w:r>
      <w:r>
        <w:rPr>
          <w:rFonts w:hint="eastAsia" w:eastAsia="仿宋_GB2312"/>
          <w:kern w:val="0"/>
          <w:sz w:val="32"/>
          <w:szCs w:val="32"/>
          <w:lang w:val="en-US" w:eastAsia="zh-CN"/>
        </w:rPr>
        <w:t>11</w:t>
      </w:r>
      <w:r>
        <w:rPr>
          <w:rFonts w:eastAsia="仿宋_GB2312"/>
          <w:kern w:val="0"/>
          <w:sz w:val="32"/>
          <w:szCs w:val="32"/>
        </w:rPr>
        <w:t>月</w:t>
      </w:r>
      <w:bookmarkEnd w:id="3"/>
      <w:r>
        <w:rPr>
          <w:rFonts w:hint="eastAsia" w:eastAsia="仿宋_GB2312"/>
          <w:kern w:val="0"/>
          <w:sz w:val="32"/>
          <w:szCs w:val="32"/>
          <w:lang w:val="en-US" w:eastAsia="zh-CN"/>
        </w:rPr>
        <w:t>6</w:t>
      </w:r>
      <w:r>
        <w:rPr>
          <w:rFonts w:eastAsia="仿宋_GB2312"/>
          <w:kern w:val="0"/>
          <w:sz w:val="32"/>
          <w:szCs w:val="32"/>
        </w:rPr>
        <w:t>日</w:t>
      </w:r>
    </w:p>
    <w:p w14:paraId="04076342">
      <w:pPr>
        <w:tabs>
          <w:tab w:val="left" w:pos="9120"/>
        </w:tabs>
        <w:autoSpaceDE w:val="0"/>
        <w:autoSpaceDN w:val="0"/>
        <w:adjustRightInd w:val="0"/>
        <w:ind w:right="120"/>
        <w:rPr>
          <w:rFonts w:eastAsia="仿宋_GB2312"/>
          <w:kern w:val="0"/>
          <w:sz w:val="28"/>
          <w:szCs w:val="28"/>
        </w:rPr>
      </w:pPr>
    </w:p>
    <w:p w14:paraId="62DB7FA8">
      <w:pPr>
        <w:tabs>
          <w:tab w:val="left" w:pos="9120"/>
        </w:tabs>
        <w:autoSpaceDE w:val="0"/>
        <w:autoSpaceDN w:val="0"/>
        <w:adjustRightInd w:val="0"/>
        <w:ind w:right="120"/>
        <w:rPr>
          <w:rFonts w:eastAsia="仿宋_GB2312"/>
          <w:kern w:val="0"/>
          <w:sz w:val="28"/>
          <w:szCs w:val="28"/>
        </w:rPr>
      </w:pPr>
    </w:p>
    <w:p w14:paraId="50E29FD4">
      <w:pPr>
        <w:tabs>
          <w:tab w:val="left" w:pos="9120"/>
        </w:tabs>
        <w:autoSpaceDE w:val="0"/>
        <w:autoSpaceDN w:val="0"/>
        <w:adjustRightInd w:val="0"/>
        <w:ind w:right="120"/>
        <w:rPr>
          <w:rFonts w:eastAsia="仿宋_GB2312"/>
          <w:kern w:val="0"/>
          <w:sz w:val="28"/>
          <w:szCs w:val="28"/>
        </w:rPr>
      </w:pPr>
    </w:p>
    <w:p w14:paraId="5217853B">
      <w:pPr>
        <w:tabs>
          <w:tab w:val="left" w:pos="9120"/>
        </w:tabs>
        <w:autoSpaceDE w:val="0"/>
        <w:autoSpaceDN w:val="0"/>
        <w:adjustRightInd w:val="0"/>
        <w:ind w:right="120"/>
        <w:rPr>
          <w:rFonts w:eastAsia="仿宋_GB2312"/>
          <w:kern w:val="0"/>
          <w:sz w:val="28"/>
          <w:szCs w:val="28"/>
        </w:rPr>
      </w:pPr>
    </w:p>
    <w:p w14:paraId="0A321E1B">
      <w:pPr>
        <w:tabs>
          <w:tab w:val="left" w:pos="9120"/>
        </w:tabs>
        <w:autoSpaceDE w:val="0"/>
        <w:autoSpaceDN w:val="0"/>
        <w:adjustRightInd w:val="0"/>
        <w:ind w:right="120"/>
        <w:rPr>
          <w:rFonts w:eastAsia="仿宋_GB2312"/>
          <w:kern w:val="0"/>
          <w:sz w:val="28"/>
          <w:szCs w:val="28"/>
        </w:rPr>
      </w:pPr>
    </w:p>
    <w:p w14:paraId="68767404">
      <w:pPr>
        <w:tabs>
          <w:tab w:val="left" w:pos="9120"/>
        </w:tabs>
        <w:autoSpaceDE w:val="0"/>
        <w:autoSpaceDN w:val="0"/>
        <w:adjustRightInd w:val="0"/>
        <w:ind w:right="120"/>
        <w:rPr>
          <w:rFonts w:eastAsia="仿宋_GB2312"/>
          <w:kern w:val="0"/>
          <w:sz w:val="28"/>
          <w:szCs w:val="28"/>
        </w:rPr>
      </w:pPr>
    </w:p>
    <w:p w14:paraId="291FA0A8">
      <w:pPr>
        <w:tabs>
          <w:tab w:val="left" w:pos="9120"/>
        </w:tabs>
        <w:autoSpaceDE w:val="0"/>
        <w:autoSpaceDN w:val="0"/>
        <w:adjustRightInd w:val="0"/>
        <w:ind w:right="120"/>
        <w:rPr>
          <w:rFonts w:eastAsia="仿宋_GB2312"/>
          <w:kern w:val="0"/>
          <w:sz w:val="28"/>
          <w:szCs w:val="28"/>
        </w:rPr>
      </w:pPr>
    </w:p>
    <w:p w14:paraId="758ED98C">
      <w:pPr>
        <w:tabs>
          <w:tab w:val="left" w:pos="9120"/>
        </w:tabs>
        <w:autoSpaceDE w:val="0"/>
        <w:autoSpaceDN w:val="0"/>
        <w:adjustRightInd w:val="0"/>
        <w:ind w:right="120"/>
        <w:rPr>
          <w:rFonts w:eastAsia="仿宋_GB2312"/>
          <w:kern w:val="0"/>
          <w:sz w:val="28"/>
          <w:szCs w:val="28"/>
        </w:rPr>
      </w:pPr>
    </w:p>
    <w:p w14:paraId="3DCF4EE1">
      <w:pPr>
        <w:tabs>
          <w:tab w:val="left" w:pos="9120"/>
        </w:tabs>
        <w:autoSpaceDE w:val="0"/>
        <w:autoSpaceDN w:val="0"/>
        <w:adjustRightInd w:val="0"/>
        <w:ind w:right="120"/>
        <w:rPr>
          <w:rFonts w:hint="eastAsia" w:eastAsia="仿宋_GB2312"/>
          <w:kern w:val="0"/>
          <w:sz w:val="28"/>
          <w:szCs w:val="28"/>
        </w:rPr>
      </w:pPr>
    </w:p>
    <w:p w14:paraId="4E15B4BC">
      <w:pPr>
        <w:tabs>
          <w:tab w:val="left" w:pos="9120"/>
        </w:tabs>
        <w:autoSpaceDE w:val="0"/>
        <w:autoSpaceDN w:val="0"/>
        <w:adjustRightInd w:val="0"/>
        <w:ind w:right="120"/>
        <w:rPr>
          <w:rFonts w:hint="eastAsia" w:eastAsia="仿宋_GB2312"/>
          <w:kern w:val="0"/>
          <w:sz w:val="28"/>
          <w:szCs w:val="28"/>
        </w:rPr>
      </w:pPr>
    </w:p>
    <w:p w14:paraId="7F29915E">
      <w:pPr>
        <w:adjustRightInd w:val="0"/>
        <w:snapToGrid w:val="0"/>
        <w:spacing w:line="360" w:lineRule="auto"/>
        <w:ind w:firstLine="2520" w:firstLineChars="900"/>
        <w:jc w:val="left"/>
        <w:rPr>
          <w:rFonts w:eastAsia="仿宋_GB2312"/>
          <w:kern w:val="0"/>
          <w:sz w:val="28"/>
          <w:szCs w:val="28"/>
        </w:rPr>
      </w:pPr>
    </w:p>
    <w:sectPr>
      <w:headerReference r:id="rId3" w:type="default"/>
      <w:footerReference r:id="rId5" w:type="default"/>
      <w:headerReference r:id="rId4"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A358A">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16CAC">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F1616">
    <w:pPr>
      <w:pStyle w:val="8"/>
      <w:pBdr>
        <w:bottom w:val="none" w:color="auto" w:sz="0" w:space="0"/>
      </w:pBdr>
    </w:pPr>
  </w:p>
  <w:p w14:paraId="0EE54E90"/>
  <w:p w14:paraId="334F99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iMzJmNjhiNmQ3NzBlZjlkYjliZmEyZTc3YWI4YjAifQ=="/>
  </w:docVars>
  <w:rsids>
    <w:rsidRoot w:val="26630CC9"/>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7446"/>
    <w:rsid w:val="00180054"/>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93512"/>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41B5"/>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F6C12"/>
    <w:rsid w:val="0090189C"/>
    <w:rsid w:val="00913EA6"/>
    <w:rsid w:val="00977AA3"/>
    <w:rsid w:val="009A5126"/>
    <w:rsid w:val="009A5FA0"/>
    <w:rsid w:val="009A7197"/>
    <w:rsid w:val="009B30FC"/>
    <w:rsid w:val="009B7917"/>
    <w:rsid w:val="009E4BC4"/>
    <w:rsid w:val="00A00336"/>
    <w:rsid w:val="00A22703"/>
    <w:rsid w:val="00A323A4"/>
    <w:rsid w:val="00A46D76"/>
    <w:rsid w:val="00A6249C"/>
    <w:rsid w:val="00A67E90"/>
    <w:rsid w:val="00A75B81"/>
    <w:rsid w:val="00A85133"/>
    <w:rsid w:val="00A8786C"/>
    <w:rsid w:val="00AA538F"/>
    <w:rsid w:val="00AC5186"/>
    <w:rsid w:val="00AD0BD6"/>
    <w:rsid w:val="00AF21E9"/>
    <w:rsid w:val="00AF2C63"/>
    <w:rsid w:val="00B1113A"/>
    <w:rsid w:val="00B13545"/>
    <w:rsid w:val="00B16FF4"/>
    <w:rsid w:val="00B51CAA"/>
    <w:rsid w:val="00B56F69"/>
    <w:rsid w:val="00B571CE"/>
    <w:rsid w:val="00B65A78"/>
    <w:rsid w:val="00B77FEE"/>
    <w:rsid w:val="00BA1433"/>
    <w:rsid w:val="00BA4646"/>
    <w:rsid w:val="00BB3134"/>
    <w:rsid w:val="00BC39CE"/>
    <w:rsid w:val="00BE12F0"/>
    <w:rsid w:val="00BE4261"/>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52438CC"/>
    <w:rsid w:val="0C017A89"/>
    <w:rsid w:val="0D1742E5"/>
    <w:rsid w:val="14DD2E54"/>
    <w:rsid w:val="1E353F45"/>
    <w:rsid w:val="235C1401"/>
    <w:rsid w:val="23A72B7A"/>
    <w:rsid w:val="256B40C4"/>
    <w:rsid w:val="26630CC9"/>
    <w:rsid w:val="2B453C7F"/>
    <w:rsid w:val="2D426A6D"/>
    <w:rsid w:val="2ED80423"/>
    <w:rsid w:val="30936D44"/>
    <w:rsid w:val="33DF60A4"/>
    <w:rsid w:val="3847510F"/>
    <w:rsid w:val="3B2434F5"/>
    <w:rsid w:val="3C3813DB"/>
    <w:rsid w:val="3CC42B41"/>
    <w:rsid w:val="3F841B92"/>
    <w:rsid w:val="40FF52B5"/>
    <w:rsid w:val="43841772"/>
    <w:rsid w:val="473367BF"/>
    <w:rsid w:val="48475D0A"/>
    <w:rsid w:val="4AD22D47"/>
    <w:rsid w:val="4E44018F"/>
    <w:rsid w:val="4FF44AB0"/>
    <w:rsid w:val="51935037"/>
    <w:rsid w:val="51C0115F"/>
    <w:rsid w:val="53B96C98"/>
    <w:rsid w:val="5B784E50"/>
    <w:rsid w:val="5B7E19C2"/>
    <w:rsid w:val="5BC40E35"/>
    <w:rsid w:val="5DC07A16"/>
    <w:rsid w:val="5F91207B"/>
    <w:rsid w:val="6C3118E9"/>
    <w:rsid w:val="6D9C4786"/>
    <w:rsid w:val="70291EB6"/>
    <w:rsid w:val="72DC74D0"/>
    <w:rsid w:val="786618CC"/>
    <w:rsid w:val="7D345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rPr>
  </w:style>
  <w:style w:type="paragraph" w:styleId="5">
    <w:name w:val="heading 4"/>
    <w:basedOn w:val="1"/>
    <w:next w:val="1"/>
    <w:qFormat/>
    <w:uiPriority w:val="0"/>
    <w:pPr>
      <w:keepNext/>
      <w:keepLines/>
      <w:numPr>
        <w:ilvl w:val="3"/>
        <w:numId w:val="2"/>
      </w:numPr>
      <w:spacing w:before="160" w:after="100" w:line="440" w:lineRule="atLeast"/>
      <w:jc w:val="left"/>
      <w:outlineLvl w:val="3"/>
    </w:pPr>
    <w:rPr>
      <w:b/>
      <w:kern w:val="0"/>
      <w:sz w:val="28"/>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4"/>
    <w:qFormat/>
    <w:uiPriority w:val="0"/>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kern w:val="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批注框文本 字符"/>
    <w:link w:val="6"/>
    <w:qFormat/>
    <w:uiPriority w:val="0"/>
    <w:rPr>
      <w:kern w:val="2"/>
      <w:sz w:val="18"/>
      <w:szCs w:val="18"/>
    </w:rPr>
  </w:style>
  <w:style w:type="character" w:customStyle="1" w:styleId="15">
    <w:name w:val="页脚 字符"/>
    <w:link w:val="7"/>
    <w:qFormat/>
    <w:uiPriority w:val="99"/>
    <w:rPr>
      <w:kern w:val="2"/>
      <w:sz w:val="18"/>
      <w:szCs w:val="18"/>
    </w:rPr>
  </w:style>
  <w:style w:type="paragraph" w:customStyle="1" w:styleId="16">
    <w:name w:val="封皮"/>
    <w:basedOn w:val="1"/>
    <w:qFormat/>
    <w:uiPriority w:val="0"/>
    <w:pPr>
      <w:jc w:val="center"/>
    </w:pPr>
    <w:rPr>
      <w:rFonts w:eastAsia="黑体"/>
      <w:b/>
      <w:sz w:val="7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24&#24180;&#25991;&#20070;&#27169;&#29256;-24&#24180;8&#26376;2&#26085;&#26356;&#26032;\2024&#24180;&#25991;&#20070;&#27169;&#29256;-24&#24180;8&#26376;2&#26085;&#26356;&#26032;\22-4.&#34892;&#25919;&#22788;&#32602;&#20915;&#23450;&#20070;&#65288;&#26410;&#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22-4.行政处罚决定书（未申辩）</Template>
  <Pages>4</Pages>
  <Words>1756</Words>
  <Characters>1925</Characters>
  <Lines>14</Lines>
  <Paragraphs>4</Paragraphs>
  <TotalTime>4</TotalTime>
  <ScaleCrop>false</ScaleCrop>
  <LinksUpToDate>false</LinksUpToDate>
  <CharactersWithSpaces>2051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2024-08-22T02:36:00Z</dcterms:created>
  <dc:creator>暗香</dc:creator>
  <cp:lastModifiedBy>博瑞</cp:lastModifiedBy>
  <dcterms:modified xsi:type="dcterms:W3CDTF">2024-11-07T08:03:26Z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2DB5C9AC116C45089B89FE1FF4A0AEC5_13</vt:lpwstr>
  </property>
</Properties>
</file>