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6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29131736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49E07D4D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6713FB0D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5C78583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1D62376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事人名称：天衡检测（天津）有限公司</w:t>
      </w:r>
    </w:p>
    <w:p w14:paraId="481E384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统一社会信用代码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：91120106MA07C88CXX</w:t>
      </w:r>
    </w:p>
    <w:p w14:paraId="355A93B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住所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天津市滨海高新区华苑产业区（环外）海泰发展二路3号2号厂房三楼301室</w:t>
      </w:r>
    </w:p>
    <w:p w14:paraId="35E6666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法定代表人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instrText xml:space="preserve"> HYPERLINK "https://aiqicha.baidu.com/person?personId=3d65505f9d8832bd5c2f436639784536&amp;entry=2115" \t "https://aiqicha.baidu.com/detail/_blank" </w:instrTex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王文娟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fldChar w:fldCharType="end"/>
      </w:r>
    </w:p>
    <w:p w14:paraId="1BD462C1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2FC7A1AC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  <w:bookmarkStart w:id="5" w:name="_GoBack"/>
      <w:bookmarkEnd w:id="5"/>
    </w:p>
    <w:p w14:paraId="642871A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于2024年6月3日、廊坊市生态环境局于2024年6月26日分别对你单位进行了调查，廊坊市生态环境局于2024年5月29日、5月31日和6月26日对霸州市东段艳华粉沫厂进行了调查。经查，你单位与霸州市东段艳华粉沫厂签订《委托检测/监测协议书》（委托单编号：TH24020126），为霸州市东段艳华粉沫厂提供监测技术服务。经调查，发现你单位实施了以下环境违法行为：</w:t>
      </w:r>
    </w:p>
    <w:p w14:paraId="65D968B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现场检查时，你单位正在营业。根据河北省生态环境厅生态环境执法局提供的《关于霸州市东段艳华粉沫厂监测报告造假案件移交处理的函》，执法人员调取了你单位2024年2月29日为霸州市东段艳华粉沫厂出具的《监测报告》（报告编号：TH24020126）及原始记录材料、《工况证明》等资料显示：你单位于2024年2月26日对霸州市东段艳华粉沫厂的有组织废气和噪声进行了监测，监测期间，生产工序工况为80%，污染治理设施正常运行。</w:t>
      </w:r>
    </w:p>
    <w:p w14:paraId="35785C4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经调取廊坊市大气污染治理工作领导小组办公室《关于发布重污染天气橙色预警并启动Ⅱ级应急响应的通知》《关于解除重污染天气橙色预警并终止Ⅱ级应急响应的通知》、霸州市东段艳华粉沫厂《用电信息详情》《环保污染防治设施运行台账》及负责人陈述，发现2024年2月26日监测当天处于重污染天气橙色预警响应期间，霸州市东段艳华粉沫厂仅有1台挤出机9点至11点进行生产实验，其他生产设备均未生产，污染治理设施正常运行，生产工况仅有10%至20%，用电量与日常生产时用电量相对比，仅达到用电负荷的20%。监测当天，你单位监测人员将空白的《工况证明》交由霸州市东段艳华粉沫厂盖章后，自行填写生产工序工况为80%，并未核实现场实际工况情况。依据《环境监测数据弄虚作假行为判定及处理办法》第四条第三项规定，你单位上述行为属于篡改监测数据。</w:t>
      </w:r>
    </w:p>
    <w:p w14:paraId="6F1B1C5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《廊坊市生态环境局现场检查（勘验）笔录》《廊坊市生态环境局调查询问笔录》、河北省生态环境厅生态环境执法局《关于霸州市东段艳华粉沫厂监测报告造假案件移交处理的函》、廊坊市大气污染治理工作领导小组办公室《关于发布重污染天气橙色预警并启动Ⅱ级应急响应的通知》《关于解除重污染天气橙色预警并终止Ⅱ级应急响应的通知》、霸州市东段艳华粉沫厂提供的《用电信息详情》《环保污染防治设施运行台账》《委托检测/监测协议书》（委托单编号：TH24020126）、你单位提供的《建设项目环境影响报告表》及批复验收文件、《监测报告》（报告编号：TH24020126）及原始记录材料《工况证明》、现场拍摄的视频以及营业执照复印件等证据为凭。</w:t>
      </w:r>
      <w:bookmarkEnd w:id="3"/>
    </w:p>
    <w:p w14:paraId="3F646436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单位上述行为违反了《天津市生态环境保护条例》第五十一条第五项的规定，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 w14:paraId="28FF045F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 w14:paraId="4349041F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日向我局申请听证，我局于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日组织召开听证会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kern w:val="0"/>
          <w:sz w:val="32"/>
          <w:szCs w:val="32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过程中</w:t>
      </w:r>
      <w:r>
        <w:rPr>
          <w:rFonts w:eastAsia="仿宋_GB2312"/>
          <w:color w:val="auto"/>
          <w:kern w:val="0"/>
          <w:sz w:val="32"/>
          <w:szCs w:val="32"/>
        </w:rPr>
        <w:t>你单位提出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申辩意见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 w14:paraId="4FF5B47D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.我单位严格按照技术规范实施监测，在重污染天气橙色预警期间企业正常生产，可以开展企业监测。</w:t>
      </w:r>
    </w:p>
    <w:p w14:paraId="29E66042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2.我公司工作人员在实施监测前已沟通企业生产情况，确认企业处于正常生产状态开展检测。</w:t>
      </w:r>
    </w:p>
    <w:p w14:paraId="3BF48308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企业提供工况证明：企业处于正常生产状态，我公司技术人员与企业沟通生产工况，具体生产工况负荷为企业提供，并盖有单位公章；填写时企业人员说书写不好让我公司人员代为填写，出具报告时再次与企业核实工况信息，核对无误后出具检测报告。</w:t>
      </w:r>
    </w:p>
    <w:p w14:paraId="1386A59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4.出具报告前企业核实工况信息：电子版报告出具后先发给企业核实报告信息（单位名称、地址、污染源名称、工况证明等）企业核实后出具盖章报告（有微信凭证，未盖章先发企业核实）。</w:t>
      </w:r>
    </w:p>
    <w:p w14:paraId="0FEB827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5.我单位出具报告中（报告声明）：报告声明第四条标注：委托单位如对检测报告有异议，请于报告完成之日起十五日内，向本公司书面提出复测申请（企业对报告没有异议，确认无误）。</w:t>
      </w:r>
    </w:p>
    <w:p w14:paraId="580F0AC1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6.HJ819-2017《排污单位自行监测技术指南总则》或其他监</w:t>
      </w:r>
    </w:p>
    <w:p w14:paraId="68B057C7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测规范并没有规定企业生产工况达到多少时才可以进行监测采样，报告中的生产工况数值只是作为一个辅助信息进行记录，并不影响污染物监测数据，排污监测结果依然有效。</w:t>
      </w:r>
    </w:p>
    <w:p w14:paraId="1581CBD3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以上事实，有我局《天津市生态环境局行政处罚听证告知书》（津市环听告〔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及其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>、你单位于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日的听证申请、《天津市生态环境局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行政处罚</w:t>
      </w:r>
      <w:r>
        <w:rPr>
          <w:rFonts w:eastAsia="仿宋_GB2312"/>
          <w:color w:val="auto"/>
          <w:kern w:val="0"/>
          <w:sz w:val="32"/>
          <w:szCs w:val="32"/>
        </w:rPr>
        <w:t>听证通知书》（津市环听通〔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《天津市生态环境局听证笔录》（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案件</w:t>
      </w:r>
      <w:r>
        <w:rPr>
          <w:rFonts w:eastAsia="仿宋_GB2312"/>
          <w:color w:val="auto"/>
          <w:kern w:val="0"/>
          <w:sz w:val="32"/>
          <w:szCs w:val="32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》（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报告</w:t>
      </w:r>
      <w:r>
        <w:rPr>
          <w:rFonts w:eastAsia="仿宋_GB2312"/>
          <w:color w:val="auto"/>
          <w:kern w:val="0"/>
          <w:sz w:val="32"/>
          <w:szCs w:val="32"/>
        </w:rPr>
        <w:t>》（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日）等证据为凭。</w:t>
      </w:r>
    </w:p>
    <w:p w14:paraId="316E3BC0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局听证会</w:t>
      </w:r>
      <w:r>
        <w:rPr>
          <w:rFonts w:hint="eastAsia" w:eastAsia="仿宋_GB2312"/>
          <w:color w:val="auto"/>
          <w:kern w:val="0"/>
          <w:sz w:val="32"/>
          <w:szCs w:val="32"/>
        </w:rPr>
        <w:t>集体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讨论和法制审核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在听证会上提出的陈述、申辩意见不影响对本案违法事实的认定，不予采纳，本案违法事实清楚、执法程序合法、法律适用准确。经研究，重新认定本案处罚金额裁量因素，依法对你单位重新作出处罚裁量。</w:t>
      </w:r>
    </w:p>
    <w:p w14:paraId="1AA51092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18DA3E7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生态环境保护条例》第七十五条“生态环境监测机构、从事环境监测设备和污染防治设施维护运营的机构篡改、伪造监测数据或者出具虚假监测报告的，由生态环境主管部门责令改正，并处十万元以上五十万元以下的罚款；情节严重的，移送相关资质认定部门撤销其资质认定证书。”的规定，我局：</w:t>
      </w:r>
    </w:p>
    <w:p w14:paraId="091ADB8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 w14:paraId="09565BD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2.对你单位处罚款十一万五千元。</w:t>
      </w:r>
    </w:p>
    <w:p w14:paraId="4E9877B5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46C7D6A7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346970B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，在从事环境监测服务过程中，应当按照相关环境监测规范开展监测活动，保证环境监测数据的真实性和有效性。</w:t>
      </w:r>
    </w:p>
    <w:p w14:paraId="0C1ED096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 w14:paraId="37166BD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>依法每日按罚款数额的3%加处罚款。</w:t>
      </w:r>
    </w:p>
    <w:p w14:paraId="62B1272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 w14:paraId="11B4D33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650B02D2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79C5B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</w:t>
      </w:r>
    </w:p>
    <w:p w14:paraId="109A9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18640F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57F17FF2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61828157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5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969AF"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A6C41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5392">
    <w:pPr>
      <w:pStyle w:val="9"/>
      <w:pBdr>
        <w:bottom w:val="none" w:color="auto" w:sz="0" w:space="0"/>
      </w:pBdr>
    </w:pPr>
  </w:p>
  <w:p w14:paraId="4C09A91B"/>
  <w:p w14:paraId="29B532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  <w:docVar w:name="KSO_WPS_MARK_KEY" w:val="5f3a5a46-cb69-4c04-bf7e-701ad859e216"/>
  </w:docVars>
  <w:rsids>
    <w:rsidRoot w:val="4C9227F3"/>
    <w:rsid w:val="00010AA6"/>
    <w:rsid w:val="000204AC"/>
    <w:rsid w:val="00043334"/>
    <w:rsid w:val="000657F1"/>
    <w:rsid w:val="0009025B"/>
    <w:rsid w:val="00095A17"/>
    <w:rsid w:val="000A47E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3C9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BF5E4B"/>
    <w:rsid w:val="0544323B"/>
    <w:rsid w:val="058D1E6B"/>
    <w:rsid w:val="0A452A13"/>
    <w:rsid w:val="0BAA16DF"/>
    <w:rsid w:val="119208BC"/>
    <w:rsid w:val="13181516"/>
    <w:rsid w:val="19D21766"/>
    <w:rsid w:val="1B165C97"/>
    <w:rsid w:val="1CC55237"/>
    <w:rsid w:val="1EA64E9B"/>
    <w:rsid w:val="1EF33693"/>
    <w:rsid w:val="201322A9"/>
    <w:rsid w:val="259F263E"/>
    <w:rsid w:val="2A334DC8"/>
    <w:rsid w:val="2A36463A"/>
    <w:rsid w:val="2F913C6C"/>
    <w:rsid w:val="36644B8A"/>
    <w:rsid w:val="39B82B2E"/>
    <w:rsid w:val="3BAB4C09"/>
    <w:rsid w:val="3C2A7A26"/>
    <w:rsid w:val="3D2E2245"/>
    <w:rsid w:val="3D9706B1"/>
    <w:rsid w:val="3FC92B3F"/>
    <w:rsid w:val="40C81C4B"/>
    <w:rsid w:val="42CE2544"/>
    <w:rsid w:val="43A9170B"/>
    <w:rsid w:val="441A18E5"/>
    <w:rsid w:val="45AD19A9"/>
    <w:rsid w:val="46091656"/>
    <w:rsid w:val="49D12B7D"/>
    <w:rsid w:val="4C9227F3"/>
    <w:rsid w:val="4FC070FD"/>
    <w:rsid w:val="51935037"/>
    <w:rsid w:val="51C90CFA"/>
    <w:rsid w:val="53771545"/>
    <w:rsid w:val="58FD755E"/>
    <w:rsid w:val="5AB75932"/>
    <w:rsid w:val="5B047FA0"/>
    <w:rsid w:val="5B7841B4"/>
    <w:rsid w:val="5CD07997"/>
    <w:rsid w:val="5CF354BD"/>
    <w:rsid w:val="5E2B67F4"/>
    <w:rsid w:val="5E3E39C6"/>
    <w:rsid w:val="663D5409"/>
    <w:rsid w:val="686025A8"/>
    <w:rsid w:val="6B36241A"/>
    <w:rsid w:val="6DAA1953"/>
    <w:rsid w:val="72016D53"/>
    <w:rsid w:val="723D0E2F"/>
    <w:rsid w:val="73B46FCB"/>
    <w:rsid w:val="74241EAA"/>
    <w:rsid w:val="77E07203"/>
    <w:rsid w:val="7C1F5FB0"/>
    <w:rsid w:val="7D0A0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正文1"/>
    <w:next w:val="19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9">
    <w:name w:val="正文文本1"/>
    <w:basedOn w:val="18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\&#25991;&#20070;&#27169;&#26495;&#65288;2024&#24180;&#65289;\2024&#24180;&#25991;&#20070;&#27169;&#29256;-24&#24180;4&#26376;&#26356;&#26032;\22-3.&#34892;&#25919;&#22788;&#32602;&#20915;&#23450;&#20070;&#65288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22-3.行政处罚决定书（听证）.dot</Template>
  <Pages>6</Pages>
  <Words>2823</Words>
  <Characters>3006</Characters>
  <Lines>9</Lines>
  <Paragraphs>2</Paragraphs>
  <TotalTime>2</TotalTime>
  <ScaleCrop>false</ScaleCrop>
  <LinksUpToDate>false</LinksUpToDate>
  <CharactersWithSpaces>3037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2024-05-14T00:52:00Z</dcterms:created>
  <dc:creator>孙国力</dc:creator>
  <cp:lastModifiedBy>孙国力</cp:lastModifiedBy>
  <cp:lastPrinted>2024-10-17T06:03:00Z</cp:lastPrinted>
  <dcterms:modified xsi:type="dcterms:W3CDTF">2024-10-18T07:14:01Z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F866212716ED472B8DF8DCE89B096EDF_11</vt:lpwstr>
  </property>
</Properties>
</file>