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34ECD">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14:paraId="3AA910A6">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14:paraId="66EE32AA">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spacing w:val="1"/>
          <w:kern w:val="0"/>
          <w:position w:val="-2"/>
          <w:sz w:val="21"/>
          <w:szCs w:val="21"/>
        </w:rPr>
      </w:pPr>
    </w:p>
    <w:p w14:paraId="0D133898">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w:t>
      </w:r>
      <w:bookmarkStart w:id="2" w:name="PO_7_NianDuBianHao"/>
      <w:r>
        <w:rPr>
          <w:rFonts w:eastAsia="仿宋_GB2312"/>
          <w:color w:val="auto"/>
          <w:kern w:val="0"/>
          <w:position w:val="-2"/>
          <w:sz w:val="32"/>
          <w:szCs w:val="32"/>
        </w:rPr>
        <w:t>〔</w:t>
      </w:r>
      <w:bookmarkEnd w:id="2"/>
      <w:r>
        <w:rPr>
          <w:rFonts w:hint="eastAsia" w:eastAsia="仿宋_GB2312"/>
          <w:color w:val="auto"/>
          <w:kern w:val="0"/>
          <w:position w:val="-2"/>
          <w:sz w:val="32"/>
          <w:szCs w:val="32"/>
          <w:lang w:eastAsia="zh-CN"/>
        </w:rPr>
        <w:t>2024</w:t>
      </w:r>
      <w:r>
        <w:rPr>
          <w:rFonts w:eastAsia="仿宋_GB2312"/>
          <w:color w:val="auto"/>
          <w:kern w:val="0"/>
          <w:position w:val="-2"/>
          <w:sz w:val="32"/>
          <w:szCs w:val="32"/>
        </w:rPr>
        <w:t>〕</w:t>
      </w:r>
      <w:r>
        <w:rPr>
          <w:rFonts w:hint="eastAsia" w:eastAsia="仿宋_GB2312"/>
          <w:color w:val="auto"/>
          <w:kern w:val="0"/>
          <w:sz w:val="32"/>
          <w:szCs w:val="32"/>
          <w:lang w:val="en-US" w:eastAsia="zh-CN"/>
        </w:rPr>
        <w:t>101</w:t>
      </w:r>
      <w:r>
        <w:rPr>
          <w:rFonts w:eastAsia="仿宋_GB2312"/>
          <w:color w:val="auto"/>
          <w:kern w:val="0"/>
          <w:position w:val="-2"/>
          <w:sz w:val="32"/>
          <w:szCs w:val="32"/>
        </w:rPr>
        <w:t>号</w:t>
      </w:r>
    </w:p>
    <w:p w14:paraId="0D46F451">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21"/>
          <w:szCs w:val="21"/>
          <w:lang w:val="en-US" w:eastAsia="zh-CN"/>
        </w:rPr>
      </w:pPr>
    </w:p>
    <w:p w14:paraId="1F125CBC">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当事人名称：天津兰特塑料制品有限公司</w:t>
      </w:r>
    </w:p>
    <w:p w14:paraId="0F613830">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统一社会信用代码：91120112MACF62KWXP</w:t>
      </w:r>
    </w:p>
    <w:p w14:paraId="546139D6">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法定代表人：盖吉良</w:t>
      </w:r>
    </w:p>
    <w:p w14:paraId="41B6CD9F">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住所：天津市津南区小站镇工业区6号路9号-5-2厂房</w:t>
      </w:r>
    </w:p>
    <w:p w14:paraId="73614DE5">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你单位环境违法</w:t>
      </w:r>
      <w:r>
        <w:rPr>
          <w:rFonts w:eastAsia="仿宋_GB2312"/>
          <w:color w:val="auto"/>
          <w:kern w:val="0"/>
          <w:position w:val="-2"/>
          <w:sz w:val="32"/>
          <w:szCs w:val="32"/>
        </w:rPr>
        <w:t>一案，我局经调查，现已审查终结。</w:t>
      </w:r>
    </w:p>
    <w:p w14:paraId="08A4FD72">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14:paraId="3407DA59">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rPr>
        <w:t>我</w:t>
      </w:r>
      <w:r>
        <w:rPr>
          <w:rFonts w:hint="eastAsia" w:eastAsia="仿宋_GB2312"/>
          <w:color w:val="auto"/>
          <w:sz w:val="32"/>
          <w:szCs w:val="32"/>
          <w:lang w:val="en-US" w:eastAsia="zh-CN"/>
        </w:rPr>
        <w:t>局于2024年4月28日对你单位进行了检查。根据你单位《天津兰特塑料制品有限公司聚丙烯托盘生产项目建设项目环境影响报告表》及审批、验收意见，你单位吸塑工序产生的有机废气（非甲烷总烃、TRVOC）经集气罩收集后通过UV光氧+活性炭吸附装置处理后由15m高排气筒P1排放。经调查，发现你单位实施了以下环境违法行为：</w:t>
      </w:r>
    </w:p>
    <w:p w14:paraId="37A3AED3">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执法人员现场检查时，你单位吸塑工序正在生产，配套的废气处理设施UV光氧+活性炭吸附装置未运行，风机未运行。经调查，你单位使用的原材料聚丙烯片材PP和聚酯切片颗粒PET的化学成分属于有机聚合物，按照《挥发性有机物无组织排放控制标准》（GB37822-2019）中“7.2含VOCs产品的使用过程”相关规定，使用有机聚合物产品用于制品生产的过程，在混合/混炼、塑炼/塑化/熔化、加工成型（挤出、注射、压制、压延、发泡、纺丝等）等作业中应采用密闭设备或在密闭空间内操作，废气应排至VOCs废气收集处理系统；无法密闭的，应采取局部气体收集措施，废气应排至VOCs废气收集处理系统。</w:t>
      </w:r>
    </w:p>
    <w:p w14:paraId="087DF98F">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eastAsia="仿宋_GB2312"/>
          <w:color w:val="auto"/>
          <w:sz w:val="32"/>
          <w:szCs w:val="32"/>
        </w:rPr>
      </w:pPr>
      <w:r>
        <w:rPr>
          <w:rFonts w:hint="eastAsia" w:eastAsia="仿宋_GB2312"/>
          <w:color w:val="auto"/>
          <w:sz w:val="32"/>
          <w:szCs w:val="32"/>
          <w:lang w:val="en-US" w:eastAsia="zh-CN"/>
        </w:rPr>
        <w:t>以上事实，有</w:t>
      </w:r>
      <w:bookmarkStart w:id="3" w:name="PO_4_ShiShiZhengJu"/>
      <w:r>
        <w:rPr>
          <w:rFonts w:hint="eastAsia" w:eastAsia="仿宋_GB2312"/>
          <w:color w:val="auto"/>
          <w:sz w:val="32"/>
          <w:szCs w:val="32"/>
          <w:lang w:val="en-US" w:eastAsia="zh-CN"/>
        </w:rPr>
        <w:t>《天津市生态环境局现场检查（勘察）笔录》《天津市生态环境局调查询问笔录》《挥发性有机物无组织排放控制标准》（GB37822-2019）；你单位提供的《材料安全数据表（MSDS）》《天津兰特塑料制品有限公司聚丙烯托盘生产项目建设项目环境影响报告表》及审批、验收意见；现场拍摄的视频以及营业执照复印件</w:t>
      </w:r>
      <w:bookmarkEnd w:id="3"/>
      <w:r>
        <w:rPr>
          <w:rFonts w:hint="eastAsia" w:eastAsia="仿宋_GB2312"/>
          <w:color w:val="auto"/>
          <w:sz w:val="32"/>
          <w:szCs w:val="32"/>
          <w:lang w:val="en-US" w:eastAsia="zh-CN"/>
        </w:rPr>
        <w:t>等证据为凭</w:t>
      </w:r>
      <w:r>
        <w:rPr>
          <w:rFonts w:eastAsia="仿宋_GB2312"/>
          <w:color w:val="auto"/>
          <w:sz w:val="32"/>
          <w:szCs w:val="32"/>
        </w:rPr>
        <w:t>。</w:t>
      </w:r>
    </w:p>
    <w:p w14:paraId="3BD024FB">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eastAsia="仿宋_GB2312"/>
          <w:color w:val="auto"/>
          <w:kern w:val="0"/>
          <w:sz w:val="32"/>
          <w:szCs w:val="32"/>
        </w:rPr>
      </w:pPr>
      <w:r>
        <w:rPr>
          <w:rFonts w:eastAsia="仿宋_GB2312"/>
          <w:color w:val="auto"/>
          <w:sz w:val="32"/>
          <w:szCs w:val="32"/>
        </w:rPr>
        <w:t>你</w:t>
      </w:r>
      <w:r>
        <w:rPr>
          <w:rFonts w:hint="eastAsia" w:eastAsia="仿宋_GB2312"/>
          <w:color w:val="auto"/>
          <w:sz w:val="32"/>
          <w:szCs w:val="32"/>
          <w:lang w:val="en-US" w:eastAsia="zh-CN"/>
        </w:rPr>
        <w:t>单位上述行为违反了《中华人民共和国大气污染防治法》第四十五条的规定，属于产生含挥发性有机物废气的生产和服务活动，未按照规定使用污染防治设施，</w:t>
      </w:r>
      <w:r>
        <w:rPr>
          <w:rFonts w:eastAsia="仿宋_GB2312"/>
          <w:color w:val="auto"/>
          <w:kern w:val="0"/>
          <w:sz w:val="32"/>
          <w:szCs w:val="32"/>
        </w:rPr>
        <w:t>依法应当予以处罚。</w:t>
      </w:r>
    </w:p>
    <w:p w14:paraId="2C95B24F">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rPr>
        <w:t>我局于</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sz w:val="32"/>
          <w:szCs w:val="32"/>
          <w:lang w:val="en-US" w:eastAsia="zh-CN"/>
        </w:rPr>
        <w:t>6</w:t>
      </w:r>
      <w:r>
        <w:rPr>
          <w:rFonts w:hint="eastAsia" w:eastAsia="仿宋_GB2312"/>
          <w:color w:val="auto"/>
          <w:kern w:val="0"/>
          <w:sz w:val="32"/>
          <w:szCs w:val="32"/>
        </w:rPr>
        <w:t>月</w:t>
      </w:r>
      <w:r>
        <w:rPr>
          <w:rFonts w:hint="eastAsia" w:eastAsia="仿宋_GB2312"/>
          <w:color w:val="auto"/>
          <w:kern w:val="0"/>
          <w:sz w:val="32"/>
          <w:szCs w:val="32"/>
          <w:lang w:val="en-US" w:eastAsia="zh-CN"/>
        </w:rPr>
        <w:t>2</w:t>
      </w:r>
      <w:r>
        <w:rPr>
          <w:rFonts w:hint="eastAsia" w:eastAsia="仿宋_GB2312"/>
          <w:color w:val="auto"/>
          <w:sz w:val="32"/>
          <w:szCs w:val="32"/>
          <w:lang w:val="en-US" w:eastAsia="zh-CN"/>
        </w:rPr>
        <w:t>4</w:t>
      </w:r>
      <w:r>
        <w:rPr>
          <w:rFonts w:hint="eastAsia" w:eastAsia="仿宋_GB2312"/>
          <w:color w:val="auto"/>
          <w:kern w:val="0"/>
          <w:sz w:val="32"/>
          <w:szCs w:val="32"/>
        </w:rPr>
        <w:t>日以《天津市生态环境局行政处罚</w:t>
      </w:r>
      <w:r>
        <w:rPr>
          <w:rFonts w:hint="eastAsia" w:eastAsia="仿宋_GB2312"/>
          <w:color w:val="auto"/>
          <w:kern w:val="0"/>
          <w:sz w:val="32"/>
          <w:szCs w:val="32"/>
          <w:lang w:val="en-US" w:eastAsia="zh-CN"/>
        </w:rPr>
        <w:t>事先</w:t>
      </w:r>
      <w:r>
        <w:rPr>
          <w:rFonts w:hint="eastAsia" w:eastAsia="仿宋_GB2312"/>
          <w:color w:val="auto"/>
          <w:kern w:val="0"/>
          <w:sz w:val="32"/>
          <w:szCs w:val="32"/>
        </w:rPr>
        <w:t>告知书》（津市环</w:t>
      </w:r>
      <w:r>
        <w:rPr>
          <w:rFonts w:hint="eastAsia" w:eastAsia="仿宋_GB2312"/>
          <w:color w:val="auto"/>
          <w:kern w:val="0"/>
          <w:sz w:val="32"/>
          <w:szCs w:val="32"/>
          <w:lang w:val="en-US" w:eastAsia="zh-CN"/>
        </w:rPr>
        <w:t>事</w:t>
      </w:r>
      <w:r>
        <w:rPr>
          <w:rFonts w:hint="eastAsia" w:eastAsia="仿宋_GB2312"/>
          <w:color w:val="auto"/>
          <w:kern w:val="0"/>
          <w:sz w:val="32"/>
          <w:szCs w:val="32"/>
        </w:rPr>
        <w:t>告〔</w:t>
      </w:r>
      <w:r>
        <w:rPr>
          <w:rFonts w:hint="eastAsia" w:eastAsia="仿宋_GB2312"/>
          <w:color w:val="auto"/>
          <w:kern w:val="0"/>
          <w:sz w:val="32"/>
          <w:szCs w:val="32"/>
          <w:lang w:eastAsia="zh-CN"/>
        </w:rPr>
        <w:t>2024</w:t>
      </w:r>
      <w:r>
        <w:rPr>
          <w:rFonts w:hint="eastAsia" w:eastAsia="仿宋_GB2312"/>
          <w:color w:val="auto"/>
          <w:kern w:val="0"/>
          <w:sz w:val="32"/>
          <w:szCs w:val="32"/>
        </w:rPr>
        <w:t>〕</w:t>
      </w:r>
      <w:r>
        <w:rPr>
          <w:rFonts w:hint="eastAsia" w:eastAsia="仿宋_GB2312"/>
          <w:color w:val="auto"/>
          <w:sz w:val="32"/>
          <w:szCs w:val="32"/>
          <w:lang w:val="en-US" w:eastAsia="zh-CN"/>
        </w:rPr>
        <w:t>68</w:t>
      </w:r>
      <w:r>
        <w:rPr>
          <w:rFonts w:hint="eastAsia" w:eastAsia="仿宋_GB2312"/>
          <w:color w:val="auto"/>
          <w:kern w:val="0"/>
          <w:sz w:val="32"/>
          <w:szCs w:val="32"/>
        </w:rPr>
        <w:t>号），告知你单位违法事实、处罚依据和拟作出的处罚决定，并明确告知你单位有</w:t>
      </w:r>
      <w:r>
        <w:rPr>
          <w:rFonts w:hint="eastAsia" w:eastAsia="仿宋_GB2312"/>
          <w:color w:val="auto"/>
          <w:kern w:val="0"/>
          <w:sz w:val="32"/>
          <w:szCs w:val="32"/>
          <w:lang w:val="en-US" w:eastAsia="zh-CN"/>
        </w:rPr>
        <w:t>权利提出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hint="eastAsia" w:eastAsia="仿宋_GB2312"/>
          <w:color w:val="auto"/>
          <w:kern w:val="0"/>
          <w:sz w:val="32"/>
          <w:szCs w:val="32"/>
        </w:rPr>
        <w:t>。我局于</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sz w:val="32"/>
          <w:szCs w:val="32"/>
          <w:lang w:val="en-US" w:eastAsia="zh-CN"/>
        </w:rPr>
        <w:t>6</w:t>
      </w:r>
      <w:r>
        <w:rPr>
          <w:rFonts w:hint="eastAsia" w:eastAsia="仿宋_GB2312"/>
          <w:color w:val="auto"/>
          <w:kern w:val="0"/>
          <w:sz w:val="32"/>
          <w:szCs w:val="32"/>
        </w:rPr>
        <w:t>月</w:t>
      </w:r>
      <w:r>
        <w:rPr>
          <w:rFonts w:hint="eastAsia" w:eastAsia="仿宋_GB2312"/>
          <w:color w:val="auto"/>
          <w:kern w:val="0"/>
          <w:sz w:val="32"/>
          <w:szCs w:val="32"/>
          <w:lang w:val="en-US" w:eastAsia="zh-CN"/>
        </w:rPr>
        <w:t>2</w:t>
      </w:r>
      <w:r>
        <w:rPr>
          <w:rFonts w:hint="eastAsia" w:eastAsia="仿宋_GB2312"/>
          <w:color w:val="auto"/>
          <w:sz w:val="32"/>
          <w:szCs w:val="32"/>
          <w:lang w:val="en-US" w:eastAsia="zh-CN"/>
        </w:rPr>
        <w:t>6</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送达上述文件，你单位于当日签收。</w:t>
      </w:r>
    </w:p>
    <w:p w14:paraId="0233DB4C">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lang w:val="en-US" w:eastAsia="zh-CN"/>
        </w:rPr>
        <w:t>2024年6月27日</w:t>
      </w:r>
      <w:r>
        <w:rPr>
          <w:rFonts w:hint="eastAsia" w:eastAsia="仿宋_GB2312"/>
          <w:color w:val="auto"/>
          <w:kern w:val="0"/>
          <w:sz w:val="32"/>
          <w:szCs w:val="32"/>
        </w:rPr>
        <w:t>你单位</w:t>
      </w:r>
      <w:r>
        <w:rPr>
          <w:rFonts w:hint="eastAsia" w:eastAsia="仿宋_GB2312"/>
          <w:color w:val="auto"/>
          <w:kern w:val="0"/>
          <w:sz w:val="32"/>
          <w:szCs w:val="32"/>
          <w:lang w:val="en-US" w:eastAsia="zh-CN"/>
        </w:rPr>
        <w:t>向</w:t>
      </w:r>
      <w:r>
        <w:rPr>
          <w:rFonts w:hint="eastAsia" w:eastAsia="仿宋_GB2312"/>
          <w:color w:val="auto"/>
          <w:kern w:val="0"/>
          <w:sz w:val="32"/>
          <w:szCs w:val="32"/>
        </w:rPr>
        <w:t>我局提</w:t>
      </w:r>
      <w:r>
        <w:rPr>
          <w:rFonts w:hint="eastAsia" w:eastAsia="仿宋_GB2312"/>
          <w:color w:val="auto"/>
          <w:kern w:val="0"/>
          <w:sz w:val="32"/>
          <w:szCs w:val="32"/>
          <w:lang w:eastAsia="zh-CN"/>
        </w:rPr>
        <w:t>出</w:t>
      </w:r>
      <w:r>
        <w:rPr>
          <w:rFonts w:hint="eastAsia" w:eastAsia="仿宋_GB2312"/>
          <w:color w:val="auto"/>
          <w:kern w:val="0"/>
          <w:sz w:val="32"/>
          <w:szCs w:val="32"/>
          <w:lang w:val="en-US" w:eastAsia="zh-CN"/>
        </w:rPr>
        <w:t>陈述、申辩意见</w:t>
      </w:r>
      <w:r>
        <w:rPr>
          <w:rFonts w:hint="eastAsia" w:eastAsia="仿宋_GB2312"/>
          <w:color w:val="auto"/>
          <w:kern w:val="0"/>
          <w:sz w:val="32"/>
          <w:szCs w:val="32"/>
          <w:lang w:eastAsia="zh-CN"/>
        </w:rPr>
        <w:t>，主要内容</w:t>
      </w:r>
      <w:r>
        <w:rPr>
          <w:rFonts w:hint="eastAsia" w:eastAsia="仿宋_GB2312"/>
          <w:color w:val="auto"/>
          <w:kern w:val="0"/>
          <w:sz w:val="32"/>
          <w:szCs w:val="32"/>
        </w:rPr>
        <w:t>如下：</w:t>
      </w:r>
    </w:p>
    <w:p w14:paraId="7FFB3E68">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1.公司因用电量超负荷环保设备跳闸，工人未及时发现，导致环保设备在生产过程中未运行。发现的问题已立即整改，更换负荷较大的电闸，由专人每小时巡查一次。</w:t>
      </w:r>
    </w:p>
    <w:p w14:paraId="0060DC56">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2.公司保证遵纪守法做好相关工作，提高产业质量，降低VOCs的排放量，为当地环保事业尽绵薄之力。</w:t>
      </w:r>
    </w:p>
    <w:p w14:paraId="192A1AF0">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lang w:val="en-US" w:eastAsia="zh-CN"/>
        </w:rPr>
        <w:t>3.拟对我公司处罚三万元，我公司接受处罚，现因公司刚成立，为小微企业，成立日期2023年4月，公司刚起步运营，现为亏损状态，申请减免部分罚款。</w:t>
      </w:r>
    </w:p>
    <w:p w14:paraId="65874B63">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rPr>
        <w:t>以上事实，有《天津市生态环境局行政处罚</w:t>
      </w:r>
      <w:r>
        <w:rPr>
          <w:rFonts w:hint="eastAsia" w:eastAsia="仿宋_GB2312"/>
          <w:color w:val="auto"/>
          <w:kern w:val="0"/>
          <w:sz w:val="32"/>
          <w:szCs w:val="32"/>
          <w:lang w:eastAsia="zh-CN"/>
        </w:rPr>
        <w:t>事先</w:t>
      </w:r>
      <w:r>
        <w:rPr>
          <w:rFonts w:hint="eastAsia" w:eastAsia="仿宋_GB2312"/>
          <w:color w:val="auto"/>
          <w:kern w:val="0"/>
          <w:sz w:val="32"/>
          <w:szCs w:val="32"/>
        </w:rPr>
        <w:t>告知书》（津市环</w:t>
      </w:r>
      <w:r>
        <w:rPr>
          <w:rFonts w:hint="eastAsia" w:eastAsia="仿宋_GB2312"/>
          <w:color w:val="auto"/>
          <w:kern w:val="0"/>
          <w:sz w:val="32"/>
          <w:szCs w:val="32"/>
          <w:lang w:eastAsia="zh-CN"/>
        </w:rPr>
        <w:t>事</w:t>
      </w:r>
      <w:r>
        <w:rPr>
          <w:rFonts w:hint="eastAsia" w:eastAsia="仿宋_GB2312"/>
          <w:color w:val="auto"/>
          <w:kern w:val="0"/>
          <w:sz w:val="32"/>
          <w:szCs w:val="32"/>
        </w:rPr>
        <w:t>告〔20</w:t>
      </w:r>
      <w:r>
        <w:rPr>
          <w:rFonts w:hint="eastAsia" w:eastAsia="仿宋_GB2312"/>
          <w:color w:val="auto"/>
          <w:kern w:val="0"/>
          <w:sz w:val="32"/>
          <w:szCs w:val="32"/>
          <w:lang w:val="en-US" w:eastAsia="zh-CN"/>
        </w:rPr>
        <w:t>24</w:t>
      </w:r>
      <w:r>
        <w:rPr>
          <w:rFonts w:hint="eastAsia" w:eastAsia="仿宋_GB2312"/>
          <w:color w:val="auto"/>
          <w:kern w:val="0"/>
          <w:sz w:val="32"/>
          <w:szCs w:val="32"/>
        </w:rPr>
        <w:t>〕</w:t>
      </w:r>
      <w:r>
        <w:rPr>
          <w:rFonts w:hint="eastAsia" w:eastAsia="仿宋_GB2312"/>
          <w:color w:val="auto"/>
          <w:kern w:val="0"/>
          <w:sz w:val="32"/>
          <w:szCs w:val="32"/>
          <w:lang w:val="en-US" w:eastAsia="zh-CN"/>
        </w:rPr>
        <w:t>68</w:t>
      </w:r>
      <w:r>
        <w:rPr>
          <w:rFonts w:hint="eastAsia" w:eastAsia="仿宋_GB2312"/>
          <w:color w:val="auto"/>
          <w:kern w:val="0"/>
          <w:sz w:val="32"/>
          <w:szCs w:val="32"/>
        </w:rPr>
        <w:t>号）及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你单位于2024年6月27日提出的陈述、申辩材料等证据为凭。</w:t>
      </w:r>
    </w:p>
    <w:p w14:paraId="0481B0A2">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经集体审议研究，你单位提出的陈述、申辩意见不影响对本案违法事实的认定，事先告知书中拟处罚金额已充分考虑到你单位违法情节、整改情况及经营困难等因素，故不采纳你单位申请减免处罚的陈述、申辩意见。本案违法事实清楚、执法程序合法、法律适用准确、处罚幅度裁量合理。</w:t>
      </w:r>
    </w:p>
    <w:p w14:paraId="72243252">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14:paraId="7F875B8F">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eastAsia="仿宋_GB2312"/>
          <w:color w:val="auto"/>
          <w:kern w:val="0"/>
          <w:sz w:val="32"/>
          <w:szCs w:val="32"/>
          <w:lang w:val="en-US" w:eastAsia="zh-CN"/>
        </w:rPr>
      </w:pPr>
      <w:r>
        <w:rPr>
          <w:rFonts w:eastAsia="仿宋_GB2312"/>
          <w:color w:val="auto"/>
          <w:kern w:val="0"/>
          <w:sz w:val="32"/>
          <w:szCs w:val="32"/>
        </w:rPr>
        <w:t>依据</w:t>
      </w:r>
      <w:r>
        <w:rPr>
          <w:rFonts w:hint="eastAsia" w:eastAsia="仿宋_GB2312"/>
          <w:color w:val="auto"/>
          <w:kern w:val="0"/>
          <w:sz w:val="32"/>
          <w:szCs w:val="32"/>
          <w:lang w:val="en-US" w:eastAsia="zh-CN"/>
        </w:rPr>
        <w:t>《中华人民共和国大气污染防治法》第一百零八条第一项的规定，我局:</w:t>
      </w:r>
    </w:p>
    <w:p w14:paraId="792F9359">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1.责令你单位立即改正违法行为；</w:t>
      </w:r>
    </w:p>
    <w:p w14:paraId="4EE95033">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lang w:val="en-US" w:eastAsia="zh-CN"/>
        </w:rPr>
        <w:t>2.对你单位处罚款三万元。</w:t>
      </w:r>
    </w:p>
    <w:p w14:paraId="412E9633">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14:paraId="7F8B85FC">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14:paraId="750815DA">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eastAsia="zh-CN"/>
        </w:rPr>
        <w:t>，生产过程中</w:t>
      </w:r>
      <w:r>
        <w:rPr>
          <w:rFonts w:hint="eastAsia" w:eastAsia="仿宋_GB2312"/>
          <w:color w:val="auto"/>
          <w:kern w:val="0"/>
          <w:sz w:val="32"/>
          <w:szCs w:val="32"/>
          <w:lang w:val="en-US" w:eastAsia="zh-CN"/>
        </w:rPr>
        <w:t>产生含挥发性有机物废气的生产和服务活动，应当在密闭空间或者设备中进行，并按照规定使用污染防治设施</w:t>
      </w:r>
      <w:r>
        <w:rPr>
          <w:rFonts w:hint="eastAsia" w:eastAsia="仿宋_GB2312"/>
          <w:color w:val="auto"/>
          <w:kern w:val="0"/>
          <w:sz w:val="32"/>
          <w:szCs w:val="32"/>
          <w:lang w:eastAsia="zh-CN"/>
        </w:rPr>
        <w:t>。</w:t>
      </w:r>
    </w:p>
    <w:p w14:paraId="01EFADB6">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14:paraId="5A580A3D">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依法每日按罚款数额的3%加处罚款。</w:t>
      </w:r>
    </w:p>
    <w:p w14:paraId="739E93CC">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u w:val="single"/>
        </w:rPr>
      </w:pPr>
      <w:r>
        <w:rPr>
          <w:rFonts w:eastAsia="黑体"/>
          <w:color w:val="auto"/>
          <w:kern w:val="0"/>
          <w:sz w:val="32"/>
          <w:szCs w:val="32"/>
        </w:rPr>
        <w:t>四、申请行政复议或者提起行政诉讼的途径和期限</w:t>
      </w:r>
    </w:p>
    <w:p w14:paraId="1357939E">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Style w:val="14"/>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如对本行政处罚决定不服，你单位可在收到本决定书之日起60日内向天津市人民政府申请行政复议（天津市司法局，咨询电话：23082169；互联网申请邮箱：</w:t>
      </w:r>
      <w:r>
        <w:rPr>
          <w:rFonts w:hint="eastAsia" w:eastAsia="仿宋_GB2312"/>
          <w:color w:val="auto"/>
          <w:kern w:val="0"/>
          <w:sz w:val="32"/>
          <w:szCs w:val="32"/>
          <w:u w:val="none"/>
          <w:lang w:val="en-US" w:eastAsia="zh-CN"/>
        </w:rPr>
        <w:t>tjsxzfy@tj.gov.cn），也可在6个月内直接向天津铁路运输法院提起行政诉讼。申请行政复议或者提起行政诉讼，不停止本行政处罚决定的执行。逾期不申请行政复议，不提起行政诉讼，又不履行本行政处罚决定的，我局将依法向天津市</w:t>
      </w:r>
      <w:r>
        <w:rPr>
          <w:rStyle w:val="14"/>
          <w:rFonts w:hint="eastAsia" w:eastAsia="仿宋_GB2312"/>
          <w:color w:val="auto"/>
          <w:kern w:val="0"/>
          <w:sz w:val="32"/>
          <w:szCs w:val="32"/>
          <w:u w:val="none"/>
          <w:lang w:val="en-US" w:eastAsia="zh-CN"/>
        </w:rPr>
        <w:t>南开区人民法院申请强制执行。</w:t>
      </w:r>
    </w:p>
    <w:p w14:paraId="7EA553FB">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80" w:lineRule="exact"/>
        <w:ind w:right="-20" w:firstLine="640" w:firstLineChars="200"/>
        <w:jc w:val="both"/>
        <w:textAlignment w:val="auto"/>
        <w:rPr>
          <w:rFonts w:eastAsia="仿宋_GB2312"/>
          <w:color w:val="auto"/>
          <w:kern w:val="0"/>
          <w:sz w:val="32"/>
          <w:szCs w:val="32"/>
        </w:rPr>
      </w:pPr>
      <w:r>
        <w:rPr>
          <w:rFonts w:hint="eastAsia" w:eastAsia="仿宋_GB2312"/>
          <w:color w:val="auto"/>
          <w:kern w:val="0"/>
          <w:sz w:val="32"/>
          <w:szCs w:val="32"/>
          <w:lang w:val="en-US" w:eastAsia="zh-CN"/>
        </w:rPr>
        <w:t>附件：行政处罚信息信用修复提示函</w:t>
      </w:r>
    </w:p>
    <w:p w14:paraId="6A480143">
      <w:pPr>
        <w:keepNext w:val="0"/>
        <w:keepLines w:val="0"/>
        <w:pageBreakBefore w:val="0"/>
        <w:widowControl w:val="0"/>
        <w:kinsoku/>
        <w:wordWrap/>
        <w:overflowPunct/>
        <w:topLinePunct w:val="0"/>
        <w:autoSpaceDE w:val="0"/>
        <w:autoSpaceDN w:val="0"/>
        <w:bidi w:val="0"/>
        <w:adjustRightInd w:val="0"/>
        <w:snapToGrid w:val="0"/>
        <w:spacing w:line="580" w:lineRule="exact"/>
        <w:jc w:val="left"/>
        <w:textAlignment w:val="auto"/>
        <w:rPr>
          <w:rFonts w:eastAsia="仿宋_GB2312"/>
          <w:color w:val="auto"/>
          <w:kern w:val="0"/>
          <w:sz w:val="32"/>
          <w:szCs w:val="32"/>
        </w:rPr>
      </w:pPr>
      <w:r>
        <w:rPr>
          <w:rFonts w:eastAsia="仿宋_GB2312"/>
          <w:color w:val="auto"/>
          <w:kern w:val="0"/>
          <w:sz w:val="32"/>
          <w:szCs w:val="32"/>
        </w:rPr>
        <w:t xml:space="preserve">                                     </w:t>
      </w:r>
      <w:bookmarkStart w:id="5" w:name="_GoBack"/>
      <w:bookmarkEnd w:id="5"/>
    </w:p>
    <w:p w14:paraId="18B92F42">
      <w:pPr>
        <w:keepNext w:val="0"/>
        <w:keepLines w:val="0"/>
        <w:pageBreakBefore w:val="0"/>
        <w:widowControl w:val="0"/>
        <w:kinsoku/>
        <w:wordWrap/>
        <w:overflowPunct/>
        <w:topLinePunct w:val="0"/>
        <w:bidi w:val="0"/>
        <w:adjustRightInd w:val="0"/>
        <w:snapToGrid w:val="0"/>
        <w:spacing w:line="580" w:lineRule="exact"/>
        <w:jc w:val="center"/>
        <w:textAlignment w:val="auto"/>
        <w:rPr>
          <w:rFonts w:eastAsia="仿宋_GB2312"/>
          <w:color w:val="auto"/>
          <w:kern w:val="0"/>
          <w:sz w:val="28"/>
          <w:szCs w:val="28"/>
        </w:rPr>
      </w:pPr>
      <w:r>
        <w:rPr>
          <w:rFonts w:eastAsia="仿宋_GB2312"/>
          <w:color w:val="auto"/>
          <w:kern w:val="0"/>
          <w:sz w:val="32"/>
          <w:szCs w:val="32"/>
        </w:rPr>
        <w:t xml:space="preserve">                           </w:t>
      </w:r>
      <w:bookmarkStart w:id="4" w:name="PO_7_QianFaShiJian"/>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bookmarkEnd w:id="4"/>
      <w:r>
        <w:rPr>
          <w:rFonts w:hint="eastAsia" w:eastAsia="仿宋_GB2312"/>
          <w:color w:val="auto"/>
          <w:kern w:val="0"/>
          <w:sz w:val="32"/>
          <w:szCs w:val="32"/>
          <w:lang w:val="en-US" w:eastAsia="zh-CN"/>
        </w:rPr>
        <w:t>25</w:t>
      </w:r>
      <w:r>
        <w:rPr>
          <w:rFonts w:eastAsia="仿宋_GB2312"/>
          <w:color w:val="auto"/>
          <w:kern w:val="0"/>
          <w:sz w:val="32"/>
          <w:szCs w:val="32"/>
        </w:rPr>
        <w:t>日</w:t>
      </w:r>
    </w:p>
    <w:p w14:paraId="6AFA9242">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1984" w:right="1361" w:bottom="1871" w:left="1474"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C6F16">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0A9C8">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EB19C">
    <w:pPr>
      <w:pStyle w:val="9"/>
      <w:pBdr>
        <w:bottom w:val="none" w:color="auto" w:sz="0" w:space="0"/>
      </w:pBdr>
    </w:pPr>
  </w:p>
  <w:p w14:paraId="7B80FAFB"/>
  <w:p w14:paraId="7C57F4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 w:name="KSO_WPS_MARK_KEY" w:val="5f3a5a46-cb69-4c04-bf7e-701ad859e216"/>
  </w:docVars>
  <w:rsids>
    <w:rsidRoot w:val="4C9227F3"/>
    <w:rsid w:val="00010AA6"/>
    <w:rsid w:val="000204AC"/>
    <w:rsid w:val="00043334"/>
    <w:rsid w:val="000657F1"/>
    <w:rsid w:val="0009025B"/>
    <w:rsid w:val="00095A17"/>
    <w:rsid w:val="000A47E7"/>
    <w:rsid w:val="000D6F4A"/>
    <w:rsid w:val="000E35AD"/>
    <w:rsid w:val="0010341C"/>
    <w:rsid w:val="00121857"/>
    <w:rsid w:val="0013098D"/>
    <w:rsid w:val="0013559F"/>
    <w:rsid w:val="00140468"/>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A15F8"/>
    <w:rsid w:val="003A1FCB"/>
    <w:rsid w:val="003B1577"/>
    <w:rsid w:val="003B41A0"/>
    <w:rsid w:val="003C05F1"/>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3C9"/>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E6E31"/>
    <w:rsid w:val="007F2FE7"/>
    <w:rsid w:val="00850EF1"/>
    <w:rsid w:val="008758BC"/>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6915"/>
    <w:rsid w:val="00D2707E"/>
    <w:rsid w:val="00D31EDD"/>
    <w:rsid w:val="00D71E35"/>
    <w:rsid w:val="00D936DC"/>
    <w:rsid w:val="00D95AE8"/>
    <w:rsid w:val="00DA180B"/>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3BF5E4B"/>
    <w:rsid w:val="058D1E6B"/>
    <w:rsid w:val="0981585A"/>
    <w:rsid w:val="0A452A13"/>
    <w:rsid w:val="0AF37BE2"/>
    <w:rsid w:val="0BAA16DF"/>
    <w:rsid w:val="119208BC"/>
    <w:rsid w:val="13181516"/>
    <w:rsid w:val="145461DC"/>
    <w:rsid w:val="19D21766"/>
    <w:rsid w:val="1B165C97"/>
    <w:rsid w:val="1CC55237"/>
    <w:rsid w:val="1EA64E9B"/>
    <w:rsid w:val="1EF33693"/>
    <w:rsid w:val="1FAB0DDB"/>
    <w:rsid w:val="201322A9"/>
    <w:rsid w:val="21F029E2"/>
    <w:rsid w:val="2557368E"/>
    <w:rsid w:val="259F263E"/>
    <w:rsid w:val="26440F92"/>
    <w:rsid w:val="2A334DC8"/>
    <w:rsid w:val="2B6F2C46"/>
    <w:rsid w:val="2DD24E04"/>
    <w:rsid w:val="2F913C6C"/>
    <w:rsid w:val="30687D5A"/>
    <w:rsid w:val="32B147E1"/>
    <w:rsid w:val="39B82B2E"/>
    <w:rsid w:val="3BAB4C09"/>
    <w:rsid w:val="3C2A7A26"/>
    <w:rsid w:val="3FC92B3F"/>
    <w:rsid w:val="40C81C4B"/>
    <w:rsid w:val="42CE2544"/>
    <w:rsid w:val="43A9170B"/>
    <w:rsid w:val="441A18E5"/>
    <w:rsid w:val="45AD19A9"/>
    <w:rsid w:val="46091656"/>
    <w:rsid w:val="48634D08"/>
    <w:rsid w:val="488C1EB2"/>
    <w:rsid w:val="49D12B7D"/>
    <w:rsid w:val="4C9227F3"/>
    <w:rsid w:val="4CBC37A4"/>
    <w:rsid w:val="4FC070FD"/>
    <w:rsid w:val="51730B5D"/>
    <w:rsid w:val="51935037"/>
    <w:rsid w:val="53771545"/>
    <w:rsid w:val="58FD755E"/>
    <w:rsid w:val="5AB75932"/>
    <w:rsid w:val="5B047FA0"/>
    <w:rsid w:val="5B7841B4"/>
    <w:rsid w:val="5CD07997"/>
    <w:rsid w:val="5D0F49E8"/>
    <w:rsid w:val="5E2B67F4"/>
    <w:rsid w:val="5E3E39C6"/>
    <w:rsid w:val="663D5409"/>
    <w:rsid w:val="66C537B1"/>
    <w:rsid w:val="686025A8"/>
    <w:rsid w:val="6B36241A"/>
    <w:rsid w:val="6DAA1953"/>
    <w:rsid w:val="72016D53"/>
    <w:rsid w:val="723D0E2F"/>
    <w:rsid w:val="732B266F"/>
    <w:rsid w:val="73B46FCB"/>
    <w:rsid w:val="74241EAA"/>
    <w:rsid w:val="769A0A64"/>
    <w:rsid w:val="77230B47"/>
    <w:rsid w:val="78474CC5"/>
    <w:rsid w:val="7C1F5FB0"/>
    <w:rsid w:val="7D0A03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Body Text"/>
    <w:basedOn w:val="1"/>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5"/>
    <w:autoRedefine/>
    <w:qFormat/>
    <w:uiPriority w:val="0"/>
    <w:rPr>
      <w:sz w:val="18"/>
      <w:szCs w:val="18"/>
    </w:rPr>
  </w:style>
  <w:style w:type="paragraph" w:styleId="8">
    <w:name w:val="footer"/>
    <w:basedOn w:val="1"/>
    <w:link w:val="16"/>
    <w:autoRedefine/>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jc w:val="left"/>
    </w:pPr>
    <w:rPr>
      <w:rFonts w:cs="Times New Roman"/>
      <w:kern w:val="0"/>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qFormat/>
    <w:uiPriority w:val="0"/>
    <w:rPr>
      <w:color w:val="0000FF"/>
      <w:u w:val="single"/>
    </w:rPr>
  </w:style>
  <w:style w:type="character" w:customStyle="1" w:styleId="15">
    <w:name w:val="批注框文本 字符"/>
    <w:link w:val="7"/>
    <w:autoRedefine/>
    <w:qFormat/>
    <w:uiPriority w:val="0"/>
    <w:rPr>
      <w:kern w:val="2"/>
      <w:sz w:val="18"/>
      <w:szCs w:val="18"/>
    </w:rPr>
  </w:style>
  <w:style w:type="character" w:customStyle="1" w:styleId="16">
    <w:name w:val="页脚 字符"/>
    <w:link w:val="8"/>
    <w:qFormat/>
    <w:uiPriority w:val="99"/>
    <w:rPr>
      <w:kern w:val="2"/>
      <w:sz w:val="18"/>
      <w:szCs w:val="18"/>
    </w:rPr>
  </w:style>
  <w:style w:type="paragraph" w:customStyle="1" w:styleId="17">
    <w:name w:val="封皮"/>
    <w:basedOn w:val="1"/>
    <w:autoRedefine/>
    <w:qFormat/>
    <w:uiPriority w:val="0"/>
    <w:pPr>
      <w:jc w:val="center"/>
    </w:pPr>
    <w:rPr>
      <w:rFonts w:eastAsia="黑体"/>
      <w:b/>
      <w:sz w:val="72"/>
    </w:rPr>
  </w:style>
  <w:style w:type="paragraph" w:customStyle="1" w:styleId="18">
    <w:name w:val="正文1"/>
    <w:next w:val="19"/>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9">
    <w:name w:val="正文文本1"/>
    <w:basedOn w:val="18"/>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21\&#25991;&#20070;&#27169;&#26495;&#65288;2024&#24180;&#65289;\2024&#24180;&#25991;&#20070;&#27169;&#29256;-24&#24180;4&#26376;&#26356;&#26032;\22-3.&#34892;&#25919;&#22788;&#32602;&#20915;&#23450;&#20070;&#65288;&#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22-3.行政处罚决定书（听证）.dot</Template>
  <Pages>4</Pages>
  <Words>2135</Words>
  <Characters>2351</Characters>
  <Lines>9</Lines>
  <Paragraphs>2</Paragraphs>
  <TotalTime>41</TotalTime>
  <ScaleCrop>false</ScaleCrop>
  <LinksUpToDate>false</LinksUpToDate>
  <CharactersWithSpaces>2471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2024-05-14T00:52:00Z</dcterms:created>
  <dc:creator>孙国力</dc:creator>
  <cp:lastModifiedBy>水果东</cp:lastModifiedBy>
  <cp:lastPrinted>2024-07-25T00:58:00Z</cp:lastPrinted>
  <dcterms:modified xsi:type="dcterms:W3CDTF">2024-07-26T07:26:22Z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F866212716ED472B8DF8DCE89B096EDF_11</vt:lpwstr>
  </property>
</Properties>
</file>