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67</w:t>
      </w:r>
      <w:r>
        <w:rPr>
          <w:rFonts w:eastAsia="仿宋_GB2312"/>
          <w:color w:val="auto"/>
          <w:kern w:val="0"/>
          <w:position w:val="-2"/>
          <w:sz w:val="32"/>
          <w:szCs w:val="32"/>
        </w:rPr>
        <w:t>号</w:t>
      </w: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auto"/>
          <w:kern w:val="0"/>
          <w:sz w:val="21"/>
          <w:szCs w:val="21"/>
          <w:lang w:val="en-US" w:eastAsia="zh-CN"/>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auto"/>
          <w:kern w:val="0"/>
          <w:sz w:val="32"/>
          <w:szCs w:val="32"/>
        </w:rPr>
      </w:pPr>
      <w:r>
        <w:rPr>
          <w:rFonts w:hint="eastAsia" w:eastAsia="仿宋_GB2312"/>
          <w:color w:val="auto"/>
          <w:kern w:val="0"/>
          <w:sz w:val="32"/>
          <w:szCs w:val="32"/>
        </w:rPr>
        <w:t>本合（天津）科技有限公司</w:t>
      </w:r>
      <w:r>
        <w:rPr>
          <w:rFonts w:eastAsia="仿宋_GB2312"/>
          <w:color w:val="auto"/>
          <w:kern w:val="0"/>
          <w:sz w:val="32"/>
          <w:szCs w:val="32"/>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统一社会信用代码：</w:t>
      </w:r>
      <w:r>
        <w:rPr>
          <w:rFonts w:hint="default" w:eastAsia="仿宋_GB2312"/>
          <w:color w:val="auto"/>
          <w:kern w:val="0"/>
          <w:sz w:val="32"/>
          <w:szCs w:val="32"/>
        </w:rPr>
        <w:t>91120221MA06GU2N24</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auto"/>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eastAsia="zh-CN"/>
        </w:rPr>
        <w:t>天津市宁河区经济开发区十三纬路</w:t>
      </w:r>
      <w:r>
        <w:rPr>
          <w:rFonts w:hint="eastAsia" w:eastAsia="仿宋_GB2312"/>
          <w:color w:val="auto"/>
          <w:kern w:val="0"/>
          <w:sz w:val="32"/>
          <w:szCs w:val="32"/>
          <w:lang w:val="en-US" w:eastAsia="zh-CN"/>
        </w:rPr>
        <w:t>19号</w:t>
      </w:r>
    </w:p>
    <w:p>
      <w:pPr>
        <w:tabs>
          <w:tab w:val="left" w:pos="8940"/>
        </w:tabs>
        <w:autoSpaceDE w:val="0"/>
        <w:autoSpaceDN w:val="0"/>
        <w:adjustRightInd w:val="0"/>
        <w:snapToGrid w:val="0"/>
        <w:spacing w:line="360" w:lineRule="auto"/>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rPr>
        <w:t>赵醒翩</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你单位环境违法</w:t>
      </w:r>
      <w:r>
        <w:rPr>
          <w:rFonts w:eastAsia="仿宋_GB2312"/>
          <w:color w:val="auto"/>
          <w:kern w:val="0"/>
          <w:position w:val="-2"/>
          <w:sz w:val="32"/>
          <w:szCs w:val="32"/>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rPr>
        <w:t>我局于202</w:t>
      </w:r>
      <w:r>
        <w:rPr>
          <w:rFonts w:hint="eastAsia" w:eastAsia="仿宋_GB2312"/>
          <w:color w:val="auto"/>
          <w:kern w:val="0"/>
          <w:sz w:val="32"/>
          <w:szCs w:val="32"/>
          <w:lang w:val="en-US" w:eastAsia="zh-CN"/>
        </w:rPr>
        <w:t>4</w:t>
      </w:r>
      <w:r>
        <w:rPr>
          <w:rFonts w:hint="eastAsia" w:eastAsia="仿宋_GB2312"/>
          <w:color w:val="auto"/>
          <w:kern w:val="0"/>
          <w:sz w:val="32"/>
          <w:szCs w:val="32"/>
        </w:rPr>
        <w:t>年</w:t>
      </w:r>
      <w:r>
        <w:rPr>
          <w:rFonts w:hint="eastAsia" w:eastAsia="仿宋_GB2312"/>
          <w:color w:val="auto"/>
          <w:kern w:val="0"/>
          <w:sz w:val="32"/>
          <w:szCs w:val="32"/>
          <w:lang w:val="en-US" w:eastAsia="zh-CN"/>
        </w:rPr>
        <w:t>3</w:t>
      </w:r>
      <w:r>
        <w:rPr>
          <w:rFonts w:hint="eastAsia" w:eastAsia="仿宋_GB2312"/>
          <w:color w:val="auto"/>
          <w:kern w:val="0"/>
          <w:sz w:val="32"/>
          <w:szCs w:val="32"/>
        </w:rPr>
        <w:t>月8日</w:t>
      </w:r>
      <w:r>
        <w:rPr>
          <w:rFonts w:eastAsia="仿宋_GB2312"/>
          <w:color w:val="auto"/>
          <w:kern w:val="0"/>
          <w:sz w:val="32"/>
          <w:szCs w:val="32"/>
        </w:rPr>
        <w:t>对你单位进行了调查，</w:t>
      </w:r>
      <w:r>
        <w:rPr>
          <w:rFonts w:hint="eastAsia" w:eastAsia="仿宋_GB2312"/>
          <w:color w:val="auto"/>
          <w:kern w:val="0"/>
          <w:sz w:val="32"/>
          <w:szCs w:val="32"/>
          <w:lang w:val="en-US" w:eastAsia="zh-CN"/>
        </w:rPr>
        <w:t>根据你单位《本合（天津）科技有限公司润滑油项目环境影响报告书》《关于对本合（天津）科技有限公司润滑油项目环境影响报告书的批复》（宁河审批环〔2020〕30号）及《国家危险废物名录》（2021年版），你单位产生的废包装桶属于《国家危险废物名录》HW49其他废物，废物代码900-041-49“其他生产、销售、使用过程中产生的废矿物油及沾染矿物油的废弃包装物”。经调查，</w:t>
      </w:r>
      <w:r>
        <w:rPr>
          <w:rFonts w:eastAsia="仿宋_GB2312"/>
          <w:color w:val="auto"/>
          <w:kern w:val="0"/>
          <w:sz w:val="32"/>
          <w:szCs w:val="32"/>
        </w:rPr>
        <w:t>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val="en-US" w:eastAsia="zh-CN"/>
        </w:rPr>
      </w:pPr>
      <w:r>
        <w:rPr>
          <w:rFonts w:hint="eastAsia" w:eastAsia="仿宋_GB2312"/>
          <w:color w:val="auto"/>
          <w:kern w:val="0"/>
          <w:sz w:val="32"/>
          <w:szCs w:val="32"/>
        </w:rPr>
        <w:t>1</w:t>
      </w:r>
      <w:r>
        <w:rPr>
          <w:rFonts w:eastAsia="仿宋_GB2312"/>
          <w:color w:val="auto"/>
          <w:kern w:val="0"/>
          <w:sz w:val="32"/>
          <w:szCs w:val="32"/>
        </w:rPr>
        <w:t>.</w:t>
      </w:r>
      <w:r>
        <w:rPr>
          <w:rFonts w:hint="eastAsia" w:eastAsia="仿宋_GB2312"/>
          <w:color w:val="auto"/>
          <w:kern w:val="0"/>
          <w:sz w:val="32"/>
          <w:szCs w:val="32"/>
          <w:lang w:eastAsia="zh-CN"/>
        </w:rPr>
        <w:t>你单位在东北门附近露天堆放</w:t>
      </w:r>
      <w:r>
        <w:rPr>
          <w:rFonts w:hint="eastAsia" w:eastAsia="仿宋_GB2312"/>
          <w:color w:val="auto"/>
          <w:kern w:val="0"/>
          <w:sz w:val="32"/>
          <w:szCs w:val="32"/>
          <w:lang w:val="en-US" w:eastAsia="zh-CN"/>
        </w:rPr>
        <w:t>XT-5066A抗磨液压油复合剂废桶、GT26P降凝剂废桶、T-268聚甲基丙烯酸酯废桶、XT-63289高性能经济型柴油机油复合机废桶等87个，废矿物油桶4个，废包装桶中有部分废矿物油遗撒至地面</w:t>
      </w:r>
      <w:r>
        <w:rPr>
          <w:rFonts w:hint="eastAsia" w:eastAsia="仿宋_GB2312"/>
          <w:color w:val="auto"/>
          <w:kern w:val="0"/>
          <w:sz w:val="32"/>
          <w:szCs w:val="32"/>
          <w:lang w:eastAsia="zh-CN"/>
        </w:rPr>
        <w:t>；危险废物贮存间外侧露天堆放长城润滑油废桶</w:t>
      </w:r>
      <w:r>
        <w:rPr>
          <w:rFonts w:hint="eastAsia" w:eastAsia="仿宋_GB2312"/>
          <w:color w:val="auto"/>
          <w:kern w:val="0"/>
          <w:sz w:val="32"/>
          <w:szCs w:val="32"/>
          <w:lang w:val="en-US" w:eastAsia="zh-CN"/>
        </w:rPr>
        <w:t>25个。</w:t>
      </w:r>
    </w:p>
    <w:p>
      <w:p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上述废包装桶中有29个为客户周转桶，已进行回收利用，依据《危险废物鉴别标准通则》（GB34330—2017）6.1 “以下物质不作为固体废物管理：a）任何不需要修复和加工即可用于其原始用途的物质，或者在产生点经过修复和加工后满足国家、地方制定或行业通行的产品质量标准并且用于其原始用途的物质；”，作为周转桶回收利用的29个废包装桶不作为固体废物管理，亦不作为危险废物管理。</w:t>
      </w:r>
    </w:p>
    <w:p>
      <w:p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eastAsia="zh-CN"/>
        </w:rPr>
      </w:pPr>
      <w:r>
        <w:rPr>
          <w:rFonts w:hint="eastAsia" w:eastAsia="仿宋_GB2312"/>
          <w:color w:val="auto"/>
          <w:kern w:val="0"/>
          <w:sz w:val="32"/>
          <w:szCs w:val="32"/>
          <w:lang w:val="en-US" w:eastAsia="zh-CN"/>
        </w:rPr>
        <w:t>剩余87个废包装桶露天堆放，堆放位置地面未采取硬化措施，</w:t>
      </w:r>
      <w:r>
        <w:rPr>
          <w:rFonts w:hint="eastAsia" w:eastAsia="仿宋_GB2312"/>
          <w:color w:val="auto"/>
          <w:kern w:val="0"/>
          <w:sz w:val="32"/>
          <w:szCs w:val="32"/>
          <w:lang w:eastAsia="zh-CN"/>
        </w:rPr>
        <w:t>未按照</w:t>
      </w:r>
      <w:r>
        <w:rPr>
          <w:rFonts w:hint="eastAsia" w:eastAsia="仿宋_GB2312"/>
          <w:color w:val="auto"/>
          <w:kern w:val="0"/>
          <w:sz w:val="32"/>
          <w:szCs w:val="32"/>
        </w:rPr>
        <w:t>《危险废物贮存污染控制标准》（GB 18597—2023）8.3.2 “贮存点应采取防风、防雨、防晒和防止危险废物流失、扬散等措施。”规定</w:t>
      </w:r>
      <w:r>
        <w:rPr>
          <w:rFonts w:hint="eastAsia" w:eastAsia="仿宋_GB2312"/>
          <w:color w:val="auto"/>
          <w:kern w:val="0"/>
          <w:sz w:val="32"/>
          <w:szCs w:val="32"/>
          <w:lang w:eastAsia="zh-CN"/>
        </w:rPr>
        <w:t>进行贮存</w:t>
      </w:r>
      <w:r>
        <w:rPr>
          <w:rFonts w:hint="eastAsia" w:eastAsia="仿宋_GB2312"/>
          <w:color w:val="auto"/>
          <w:kern w:val="0"/>
          <w:sz w:val="32"/>
          <w:szCs w:val="32"/>
        </w:rPr>
        <w:t>。</w:t>
      </w:r>
      <w:r>
        <w:rPr>
          <w:rFonts w:hint="eastAsia" w:eastAsia="仿宋_GB2312"/>
          <w:color w:val="auto"/>
          <w:kern w:val="0"/>
          <w:sz w:val="32"/>
          <w:szCs w:val="32"/>
          <w:lang w:eastAsia="zh-CN"/>
        </w:rPr>
        <w:t>涉案的废包装桶及清理的污染土壤重量为</w:t>
      </w:r>
      <w:r>
        <w:rPr>
          <w:rFonts w:hint="eastAsia" w:eastAsia="仿宋_GB2312"/>
          <w:color w:val="auto"/>
          <w:kern w:val="0"/>
          <w:sz w:val="32"/>
          <w:szCs w:val="32"/>
          <w:lang w:val="en-US" w:eastAsia="zh-CN"/>
        </w:rPr>
        <w:t>1.8吨，</w:t>
      </w:r>
      <w:r>
        <w:rPr>
          <w:rFonts w:hint="eastAsia" w:eastAsia="仿宋_GB2312"/>
          <w:color w:val="auto"/>
          <w:kern w:val="0"/>
          <w:sz w:val="32"/>
          <w:szCs w:val="32"/>
          <w:lang w:eastAsia="zh-CN"/>
        </w:rPr>
        <w:t>违反了《中华人民共和国固体废物污染环境防治法》第七十九条的规定。</w:t>
      </w:r>
    </w:p>
    <w:p>
      <w:p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val="en-US" w:eastAsia="zh-CN"/>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你单位</w:t>
      </w:r>
      <w:r>
        <w:rPr>
          <w:rFonts w:hint="eastAsia" w:eastAsia="仿宋_GB2312"/>
          <w:color w:val="auto"/>
          <w:kern w:val="0"/>
          <w:sz w:val="32"/>
          <w:szCs w:val="32"/>
          <w:lang w:val="en-US" w:eastAsia="zh-CN"/>
        </w:rPr>
        <w:t>产生的废包装桶与废纸箱、废塑料薄膜等非危险废物混存于固体废物贮存间。涉案的废包装桶及沾染的非危险废物重量为0.06吨，</w:t>
      </w:r>
      <w:r>
        <w:rPr>
          <w:rFonts w:hint="eastAsia" w:eastAsia="仿宋_GB2312"/>
          <w:color w:val="auto"/>
          <w:kern w:val="0"/>
          <w:sz w:val="32"/>
          <w:szCs w:val="32"/>
          <w:lang w:eastAsia="zh-CN"/>
        </w:rPr>
        <w:t>违反了《中华人民共和国固体废物污染环境防治法》第八十一条第二款的规定。</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以上事实，有《天津市生态环境局现场检查（勘察）笔录》《天津市生态环境局调查询问笔录》</w:t>
      </w:r>
      <w:r>
        <w:rPr>
          <w:rFonts w:hint="eastAsia" w:eastAsia="仿宋_GB2312"/>
          <w:color w:val="auto"/>
          <w:kern w:val="0"/>
          <w:sz w:val="32"/>
          <w:szCs w:val="32"/>
        </w:rPr>
        <w:t>、</w:t>
      </w:r>
      <w:r>
        <w:rPr>
          <w:rFonts w:hint="eastAsia" w:eastAsia="仿宋_GB2312"/>
          <w:color w:val="auto"/>
          <w:kern w:val="0"/>
          <w:sz w:val="32"/>
          <w:szCs w:val="32"/>
          <w:lang w:eastAsia="zh-CN"/>
        </w:rPr>
        <w:t>该单位提供的《说明》</w:t>
      </w:r>
      <w:r>
        <w:rPr>
          <w:rFonts w:hint="eastAsia" w:eastAsia="仿宋_GB2312"/>
          <w:color w:val="auto"/>
          <w:kern w:val="0"/>
          <w:sz w:val="32"/>
          <w:szCs w:val="32"/>
          <w:lang w:val="en-US" w:eastAsia="zh-CN"/>
        </w:rPr>
        <w:t>《本合（天津）科技有限公司润滑油项目环境影响报告书》《关于对本合（天津）科技有限公司润滑油项目环境影响报告书的批复》（宁河审批环〔2020〕30号）、《国家危险废物名录》（2021年版）</w:t>
      </w:r>
      <w:r>
        <w:rPr>
          <w:rFonts w:hint="eastAsia" w:eastAsia="仿宋_GB2312"/>
          <w:color w:val="auto"/>
          <w:kern w:val="0"/>
          <w:sz w:val="32"/>
          <w:szCs w:val="32"/>
          <w:lang w:eastAsia="zh-CN"/>
        </w:rPr>
        <w:t>、</w:t>
      </w:r>
      <w:r>
        <w:rPr>
          <w:rFonts w:eastAsia="仿宋_GB2312"/>
          <w:color w:val="auto"/>
          <w:kern w:val="0"/>
          <w:sz w:val="32"/>
          <w:szCs w:val="32"/>
        </w:rPr>
        <w:t>现场拍摄视频以及营业执照复印件等证据为凭。</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eastAsia="仿宋_GB2312"/>
          <w:color w:val="auto"/>
          <w:kern w:val="0"/>
          <w:sz w:val="32"/>
          <w:szCs w:val="32"/>
        </w:rPr>
        <w:t>我局于</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4</w:t>
      </w:r>
      <w:r>
        <w:rPr>
          <w:rFonts w:eastAsia="仿宋_GB2312"/>
          <w:color w:val="auto"/>
          <w:kern w:val="0"/>
          <w:sz w:val="32"/>
          <w:szCs w:val="32"/>
        </w:rPr>
        <w:t>月</w:t>
      </w:r>
      <w:r>
        <w:rPr>
          <w:rFonts w:hint="eastAsia" w:eastAsia="仿宋_GB2312"/>
          <w:color w:val="auto"/>
          <w:kern w:val="0"/>
          <w:sz w:val="32"/>
          <w:szCs w:val="32"/>
          <w:lang w:val="en-US" w:eastAsia="zh-CN"/>
        </w:rPr>
        <w:t>19</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34</w:t>
      </w:r>
      <w:r>
        <w:rPr>
          <w:rFonts w:eastAsia="仿宋_GB2312"/>
          <w:color w:val="auto"/>
          <w:kern w:val="0"/>
          <w:sz w:val="32"/>
          <w:szCs w:val="32"/>
        </w:rPr>
        <w:t>号），告知你单位违法事实、处罚依据和拟作出的处罚决定，并明确告知你单位</w:t>
      </w:r>
      <w:r>
        <w:rPr>
          <w:rFonts w:hint="eastAsia" w:eastAsia="仿宋_GB2312"/>
          <w:color w:val="auto"/>
          <w:kern w:val="0"/>
          <w:sz w:val="32"/>
          <w:szCs w:val="32"/>
          <w:lang w:val="en-US" w:eastAsia="zh-CN"/>
        </w:rPr>
        <w:t>有权利提出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4</w:t>
      </w:r>
      <w:r>
        <w:rPr>
          <w:rFonts w:hint="eastAsia" w:eastAsia="仿宋_GB2312"/>
          <w:color w:val="auto"/>
          <w:kern w:val="0"/>
          <w:sz w:val="32"/>
          <w:szCs w:val="32"/>
        </w:rPr>
        <w:t>月</w:t>
      </w:r>
      <w:r>
        <w:rPr>
          <w:rFonts w:hint="eastAsia" w:eastAsia="仿宋_GB2312"/>
          <w:color w:val="auto"/>
          <w:kern w:val="0"/>
          <w:sz w:val="32"/>
          <w:szCs w:val="32"/>
          <w:lang w:val="en-US" w:eastAsia="zh-CN"/>
        </w:rPr>
        <w:t>25</w:t>
      </w:r>
      <w:r>
        <w:rPr>
          <w:rFonts w:hint="eastAsia" w:eastAsia="仿宋_GB2312"/>
          <w:color w:val="auto"/>
          <w:kern w:val="0"/>
          <w:sz w:val="32"/>
          <w:szCs w:val="32"/>
        </w:rPr>
        <w:t>日向你单位送达上述文件，你单位于当日</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4</w:t>
      </w:r>
      <w:r>
        <w:rPr>
          <w:rFonts w:hint="eastAsia" w:eastAsia="仿宋_GB2312"/>
          <w:color w:val="auto"/>
          <w:kern w:val="0"/>
          <w:sz w:val="32"/>
          <w:szCs w:val="32"/>
        </w:rPr>
        <w:t>月</w:t>
      </w:r>
      <w:r>
        <w:rPr>
          <w:rFonts w:hint="eastAsia" w:eastAsia="仿宋_GB2312"/>
          <w:color w:val="auto"/>
          <w:kern w:val="0"/>
          <w:sz w:val="32"/>
          <w:szCs w:val="32"/>
          <w:lang w:val="en-US" w:eastAsia="zh-CN"/>
        </w:rPr>
        <w:t>25</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rPr>
        <w:t>签收。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4</w:t>
      </w:r>
      <w:r>
        <w:rPr>
          <w:rFonts w:hint="eastAsia" w:eastAsia="仿宋_GB2312"/>
          <w:color w:val="auto"/>
          <w:kern w:val="0"/>
          <w:sz w:val="32"/>
          <w:szCs w:val="32"/>
        </w:rPr>
        <w:t>月</w:t>
      </w:r>
      <w:r>
        <w:rPr>
          <w:rFonts w:hint="eastAsia" w:eastAsia="仿宋_GB2312"/>
          <w:color w:val="auto"/>
          <w:kern w:val="0"/>
          <w:sz w:val="32"/>
          <w:szCs w:val="32"/>
          <w:lang w:val="en-US" w:eastAsia="zh-CN"/>
        </w:rPr>
        <w:t>25</w:t>
      </w:r>
      <w:r>
        <w:rPr>
          <w:rFonts w:hint="eastAsia" w:eastAsia="仿宋_GB2312"/>
          <w:color w:val="auto"/>
          <w:kern w:val="0"/>
          <w:sz w:val="32"/>
          <w:szCs w:val="32"/>
        </w:rPr>
        <w:t>日，你单位向我局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w:t>
      </w:r>
      <w:r>
        <w:rPr>
          <w:rFonts w:hint="eastAsia" w:eastAsia="仿宋_GB2312"/>
          <w:color w:val="auto"/>
          <w:kern w:val="0"/>
          <w:sz w:val="32"/>
          <w:szCs w:val="32"/>
          <w:lang w:eastAsia="zh-CN"/>
        </w:rPr>
        <w:t>、</w:t>
      </w:r>
      <w:r>
        <w:rPr>
          <w:rFonts w:hint="eastAsia" w:eastAsia="仿宋_GB2312"/>
          <w:color w:val="auto"/>
          <w:kern w:val="0"/>
          <w:sz w:val="32"/>
          <w:szCs w:val="32"/>
        </w:rPr>
        <w:t>申辩意见如下：</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贵局现场检查时指出我司存在问题，我局表示接受并于当日立即整改，目前已经整改完毕。在告知书中第一项涉案的116个油桶，其中29个是客户存放在我公司的周转桶，已返还给客户，剩余87个油桶及堆放油桶的地面清理物实际重量为1.8吨。在告知书中第二项涉案的废包装桶及沾染的非危险废物实际重量共计0.06吨。上述危险废物已交由危险废物处置单位进行处置。</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2.2019年迁址以及疫情影响，我公司经营困难，本次罚款，我司属实有压力，罚款后，我司面临征信问题，也将影响我司马上签约的唯一订单。</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default" w:eastAsia="仿宋_GB2312"/>
          <w:color w:val="auto"/>
          <w:kern w:val="0"/>
          <w:sz w:val="32"/>
          <w:szCs w:val="32"/>
          <w:lang w:eastAsia="zh-CN"/>
        </w:rPr>
      </w:pPr>
      <w:r>
        <w:rPr>
          <w:rFonts w:hint="eastAsia" w:eastAsia="仿宋_GB2312"/>
          <w:color w:val="auto"/>
          <w:kern w:val="0"/>
          <w:sz w:val="32"/>
          <w:szCs w:val="32"/>
          <w:lang w:val="en-US" w:eastAsia="zh-CN"/>
        </w:rPr>
        <w:t>3.</w:t>
      </w:r>
      <w:r>
        <w:rPr>
          <w:rFonts w:hint="default" w:eastAsia="仿宋_GB2312"/>
          <w:color w:val="auto"/>
          <w:kern w:val="0"/>
          <w:sz w:val="32"/>
          <w:szCs w:val="32"/>
          <w:lang w:eastAsia="zh-CN"/>
        </w:rPr>
        <w:t>《生态环境行政处罚办法》“轻微不罚”的情形，强调“说理式执法”，要求将当事人陈述申辩和听证情况纳入案卷，并将采纳情况及理由写入处罚决定书，让执法更有“温度”。我们坚信党中央、国务院和市委、市政府关于《优化营商环境条例》、加强法治建设、推动经济高质量发展的决策部署。</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default" w:eastAsia="仿宋_GB2312"/>
          <w:color w:val="auto"/>
          <w:kern w:val="0"/>
          <w:sz w:val="32"/>
          <w:szCs w:val="32"/>
          <w:lang w:eastAsia="zh-CN"/>
        </w:rPr>
      </w:pPr>
      <w:r>
        <w:rPr>
          <w:rFonts w:hint="eastAsia" w:eastAsia="仿宋_GB2312"/>
          <w:color w:val="auto"/>
          <w:kern w:val="0"/>
          <w:sz w:val="32"/>
          <w:szCs w:val="32"/>
          <w:lang w:val="en-US" w:eastAsia="zh-CN"/>
        </w:rPr>
        <w:t>4.</w:t>
      </w:r>
      <w:r>
        <w:rPr>
          <w:rFonts w:hint="default" w:eastAsia="仿宋_GB2312"/>
          <w:color w:val="auto"/>
          <w:kern w:val="0"/>
          <w:sz w:val="32"/>
          <w:szCs w:val="32"/>
          <w:lang w:eastAsia="zh-CN"/>
        </w:rPr>
        <w:t>综合以上情况，希望贵局批评教育为主，处罚经济为辅，</w:t>
      </w:r>
      <w:r>
        <w:rPr>
          <w:rFonts w:hint="eastAsia" w:eastAsia="仿宋_GB2312"/>
          <w:color w:val="auto"/>
          <w:kern w:val="0"/>
          <w:sz w:val="32"/>
          <w:szCs w:val="32"/>
          <w:lang w:eastAsia="zh-CN"/>
        </w:rPr>
        <w:t>望对我单位进行指导帮扶助力。</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34</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val="en-US" w:eastAsia="zh-CN"/>
        </w:rPr>
        <w:t>对于你单位提出的“涉案的危险废物中116个废油桶中29个作为周转桶进行回收利用，剩余废油桶及沾染油渣的土壤实际重量为1.8吨，已作为危险废物处置；废包装桶及沾染的非危险废物实际重量为0.06吨，已作为危险废物处置”，你单位涉案的危险废物实际重量较</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4</w:t>
      </w:r>
      <w:r>
        <w:rPr>
          <w:rFonts w:hint="eastAsia" w:eastAsia="仿宋_GB2312"/>
          <w:color w:val="auto"/>
          <w:kern w:val="0"/>
          <w:sz w:val="32"/>
          <w:szCs w:val="32"/>
        </w:rPr>
        <w:t>月</w:t>
      </w:r>
      <w:r>
        <w:rPr>
          <w:rFonts w:hint="eastAsia" w:eastAsia="仿宋_GB2312"/>
          <w:color w:val="auto"/>
          <w:kern w:val="0"/>
          <w:sz w:val="32"/>
          <w:szCs w:val="32"/>
          <w:lang w:val="en-US" w:eastAsia="zh-CN"/>
        </w:rPr>
        <w:t>25</w:t>
      </w:r>
      <w:r>
        <w:rPr>
          <w:rFonts w:hint="eastAsia" w:eastAsia="仿宋_GB2312"/>
          <w:color w:val="auto"/>
          <w:kern w:val="0"/>
          <w:sz w:val="32"/>
          <w:szCs w:val="32"/>
        </w:rPr>
        <w:t>日</w:t>
      </w:r>
      <w:r>
        <w:rPr>
          <w:rFonts w:hint="eastAsia" w:eastAsia="仿宋_GB2312"/>
          <w:color w:val="auto"/>
          <w:kern w:val="0"/>
          <w:sz w:val="32"/>
          <w:szCs w:val="32"/>
          <w:lang w:val="en-US" w:eastAsia="zh-CN"/>
        </w:rPr>
        <w:t>对你单位送达的</w:t>
      </w:r>
      <w:r>
        <w:rPr>
          <w:rFonts w:eastAsia="仿宋_GB2312"/>
          <w:color w:val="auto"/>
          <w:kern w:val="0"/>
          <w:sz w:val="32"/>
          <w:szCs w:val="32"/>
        </w:rPr>
        <w:t>《天津市生态环境局行政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34</w:t>
      </w:r>
      <w:r>
        <w:rPr>
          <w:rFonts w:eastAsia="仿宋_GB2312"/>
          <w:color w:val="auto"/>
          <w:kern w:val="0"/>
          <w:sz w:val="32"/>
          <w:szCs w:val="32"/>
        </w:rPr>
        <w:t>号）</w:t>
      </w:r>
      <w:r>
        <w:rPr>
          <w:rFonts w:hint="eastAsia" w:eastAsia="仿宋_GB2312"/>
          <w:color w:val="auto"/>
          <w:kern w:val="0"/>
          <w:sz w:val="32"/>
          <w:szCs w:val="32"/>
          <w:lang w:eastAsia="zh-CN"/>
        </w:rPr>
        <w:t>时认定的危险废物重量</w:t>
      </w:r>
      <w:r>
        <w:rPr>
          <w:rFonts w:hint="eastAsia" w:eastAsia="仿宋_GB2312"/>
          <w:color w:val="auto"/>
          <w:kern w:val="0"/>
          <w:sz w:val="32"/>
          <w:szCs w:val="32"/>
          <w:lang w:val="en-US" w:eastAsia="zh-CN"/>
        </w:rPr>
        <w:t>2.025吨有所减少。对你单位提出的“属于初次违法且及时改正，未造成环境危害后果”的情况，鉴于你单位涉案的危险废物重量较大，且造成撒漏情况，不符合《生态环境行政处罚办法》第四十二条第一款规定的情形。综上，你单位的陈述申辩意见不影响违法事实的认定，但考虑你单位涉案危险废物的实际重量减少，且已将涉案危险废物交于危险废物处置单位进行处置，整改到位，主动消除环境危害后果，根据《中华人民共和国行政处罚法》第五条第二款及第三十二条第一项的规定，对你单位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rPr>
        <w:t>依据《中华人民共和国固体废物污染环境防治法》第一百一十二条第一款第六项和第二款的规定，我局</w:t>
      </w:r>
      <w:r>
        <w:rPr>
          <w:rFonts w:hint="eastAsia" w:eastAsia="仿宋_GB2312"/>
          <w:color w:val="auto"/>
          <w:sz w:val="32"/>
          <w:szCs w:val="32"/>
        </w:rPr>
        <w:t>：</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1.</w:t>
      </w:r>
      <w:r>
        <w:rPr>
          <w:rFonts w:eastAsia="仿宋_GB2312"/>
          <w:color w:val="auto"/>
          <w:sz w:val="32"/>
          <w:szCs w:val="32"/>
        </w:rPr>
        <w:t xml:space="preserve"> 责令你单位</w:t>
      </w:r>
      <w:r>
        <w:rPr>
          <w:rFonts w:hint="eastAsia" w:eastAsia="仿宋_GB2312"/>
          <w:color w:val="auto"/>
          <w:kern w:val="0"/>
          <w:sz w:val="32"/>
          <w:szCs w:val="32"/>
          <w:lang w:eastAsia="zh-CN"/>
        </w:rPr>
        <w:t>立即改正违法行为</w:t>
      </w:r>
      <w:r>
        <w:rPr>
          <w:rFonts w:hint="eastAsia" w:eastAsia="仿宋_GB2312"/>
          <w:color w:val="auto"/>
          <w:kern w:val="0"/>
          <w:sz w:val="32"/>
          <w:szCs w:val="32"/>
        </w:rPr>
        <w:t>；</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2.</w:t>
      </w:r>
      <w:r>
        <w:rPr>
          <w:rFonts w:eastAsia="仿宋_GB2312"/>
          <w:color w:val="auto"/>
          <w:sz w:val="32"/>
          <w:szCs w:val="32"/>
        </w:rPr>
        <w:t xml:space="preserve"> </w:t>
      </w:r>
      <w:r>
        <w:rPr>
          <w:rFonts w:hint="eastAsia" w:eastAsia="仿宋_GB2312"/>
          <w:color w:val="auto"/>
          <w:kern w:val="0"/>
          <w:sz w:val="32"/>
          <w:szCs w:val="32"/>
        </w:rPr>
        <w:t>对你单位</w:t>
      </w:r>
      <w:r>
        <w:rPr>
          <w:rFonts w:eastAsia="仿宋_GB2312"/>
          <w:color w:val="auto"/>
          <w:sz w:val="32"/>
          <w:szCs w:val="32"/>
        </w:rPr>
        <w:t>处罚款</w:t>
      </w:r>
      <w:r>
        <w:rPr>
          <w:rFonts w:hint="eastAsia" w:eastAsia="仿宋_GB2312"/>
          <w:color w:val="auto"/>
          <w:kern w:val="0"/>
          <w:sz w:val="32"/>
          <w:szCs w:val="32"/>
          <w:lang w:eastAsia="zh-CN"/>
        </w:rPr>
        <w:t>十五万元</w:t>
      </w:r>
      <w:r>
        <w:rPr>
          <w:rFonts w:hint="eastAsia" w:eastAsia="仿宋_GB2312"/>
          <w:color w:val="auto"/>
          <w:kern w:val="0"/>
          <w:sz w:val="32"/>
          <w:szCs w:val="32"/>
        </w:rPr>
        <w:t>。</w:t>
      </w:r>
    </w:p>
    <w:p>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你单位应按照国家有关规定和环境保护标准要求贮存、利用、处置危险废物。</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Style w:val="13"/>
          <w:rFonts w:hint="eastAsia" w:eastAsia="仿宋_GB2312"/>
          <w:color w:val="auto"/>
          <w:kern w:val="0"/>
          <w:sz w:val="32"/>
          <w:szCs w:val="32"/>
          <w:u w:val="none"/>
          <w:lang w:val="en-US" w:eastAsia="zh-CN"/>
        </w:rPr>
      </w:pPr>
      <w:r>
        <w:rPr>
          <w:rStyle w:val="13"/>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3"/>
          <w:rFonts w:hint="eastAsia" w:eastAsia="仿宋_GB2312"/>
          <w:color w:val="auto"/>
          <w:kern w:val="0"/>
          <w:sz w:val="32"/>
          <w:szCs w:val="32"/>
          <w:u w:val="none"/>
          <w:lang w:val="en-US" w:eastAsia="zh-CN"/>
        </w:rPr>
        <w:t>南开区人民法院申请强制执行。</w:t>
      </w:r>
    </w:p>
    <w:p>
      <w:pPr>
        <w:tabs>
          <w:tab w:val="left" w:pos="5980"/>
          <w:tab w:val="left" w:pos="8460"/>
          <w:tab w:val="left" w:pos="9265"/>
        </w:tabs>
        <w:autoSpaceDE w:val="0"/>
        <w:autoSpaceDN w:val="0"/>
        <w:adjustRightInd w:val="0"/>
        <w:snapToGrid w:val="0"/>
        <w:spacing w:line="360" w:lineRule="auto"/>
        <w:ind w:right="-20" w:firstLine="640" w:firstLineChars="200"/>
        <w:jc w:val="left"/>
        <w:rPr>
          <w:rFonts w:hint="default" w:eastAsia="仿宋_GB2312"/>
          <w:kern w:val="0"/>
          <w:sz w:val="32"/>
          <w:szCs w:val="32"/>
          <w:lang w:val="en-US" w:eastAsia="zh-CN"/>
        </w:rPr>
      </w:pPr>
      <w:r>
        <w:rPr>
          <w:rFonts w:hint="eastAsia" w:eastAsia="仿宋_GB2312"/>
          <w:kern w:val="0"/>
          <w:sz w:val="32"/>
          <w:szCs w:val="32"/>
          <w:lang w:val="en-US" w:eastAsia="zh-CN"/>
        </w:rPr>
        <w:t>附件：行政处罚信息信用修复提示函</w:t>
      </w:r>
    </w:p>
    <w:p>
      <w:pPr>
        <w:tabs>
          <w:tab w:val="left" w:pos="5980"/>
          <w:tab w:val="left" w:pos="8460"/>
          <w:tab w:val="left" w:pos="9265"/>
        </w:tabs>
        <w:autoSpaceDE w:val="0"/>
        <w:autoSpaceDN w:val="0"/>
        <w:adjustRightInd w:val="0"/>
        <w:snapToGrid w:val="0"/>
        <w:spacing w:line="360" w:lineRule="auto"/>
        <w:ind w:right="-20"/>
        <w:jc w:val="left"/>
        <w:rPr>
          <w:rFonts w:eastAsia="仿宋_GB2312"/>
          <w:color w:val="auto"/>
          <w:kern w:val="0"/>
          <w:sz w:val="32"/>
          <w:szCs w:val="32"/>
        </w:rPr>
      </w:pPr>
    </w:p>
    <w:p>
      <w:pPr>
        <w:autoSpaceDE w:val="0"/>
        <w:autoSpaceDN w:val="0"/>
        <w:adjustRightInd w:val="0"/>
        <w:snapToGrid w:val="0"/>
        <w:spacing w:line="360" w:lineRule="auto"/>
        <w:jc w:val="left"/>
        <w:rPr>
          <w:rFonts w:eastAsia="仿宋_GB2312"/>
          <w:color w:val="auto"/>
          <w:kern w:val="0"/>
          <w:sz w:val="32"/>
          <w:szCs w:val="32"/>
        </w:rPr>
      </w:pPr>
    </w:p>
    <w:p>
      <w:pPr>
        <w:autoSpaceDE w:val="0"/>
        <w:autoSpaceDN w:val="0"/>
        <w:adjustRightInd w:val="0"/>
        <w:snapToGrid w:val="0"/>
        <w:spacing w:line="360" w:lineRule="auto"/>
        <w:jc w:val="left"/>
        <w:rPr>
          <w:rFonts w:eastAsia="仿宋_GB2312"/>
          <w:color w:val="auto"/>
          <w:kern w:val="0"/>
          <w:sz w:val="32"/>
          <w:szCs w:val="32"/>
        </w:rPr>
      </w:pPr>
    </w:p>
    <w:p>
      <w:pPr>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w:t>
      </w:r>
    </w:p>
    <w:p>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3"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bookmarkEnd w:id="3"/>
      <w:r>
        <w:rPr>
          <w:rFonts w:hint="eastAsia" w:eastAsia="仿宋_GB2312"/>
          <w:color w:val="auto"/>
          <w:kern w:val="0"/>
          <w:sz w:val="32"/>
          <w:szCs w:val="32"/>
          <w:lang w:val="en-US" w:eastAsia="zh-CN"/>
        </w:rPr>
        <w:t>21</w:t>
      </w:r>
      <w:r>
        <w:rPr>
          <w:rFonts w:eastAsia="仿宋_GB2312"/>
          <w:color w:val="auto"/>
          <w:kern w:val="0"/>
          <w:sz w:val="32"/>
          <w:szCs w:val="32"/>
        </w:rPr>
        <w:t>日</w:t>
      </w:r>
    </w:p>
    <w:p>
      <w:pPr>
        <w:adjustRightInd w:val="0"/>
        <w:snapToGrid w:val="0"/>
        <w:spacing w:line="360" w:lineRule="auto"/>
        <w:jc w:val="both"/>
        <w:rPr>
          <w:rFonts w:eastAsia="仿宋_GB2312"/>
          <w:color w:val="auto"/>
          <w:kern w:val="0"/>
          <w:sz w:val="32"/>
          <w:szCs w:val="32"/>
        </w:rPr>
      </w:pPr>
    </w:p>
    <w:p>
      <w:pPr>
        <w:tabs>
          <w:tab w:val="left" w:pos="9120"/>
        </w:tabs>
        <w:autoSpaceDE w:val="0"/>
        <w:autoSpaceDN w:val="0"/>
        <w:adjustRightInd w:val="0"/>
        <w:ind w:right="120"/>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p>
      <w:pPr>
        <w:adjustRightInd w:val="0"/>
        <w:snapToGrid w:val="0"/>
        <w:spacing w:line="360" w:lineRule="auto"/>
        <w:ind w:firstLine="2520" w:firstLineChars="900"/>
        <w:jc w:val="left"/>
        <w:rPr>
          <w:rFonts w:eastAsia="仿宋_GB2312"/>
          <w:color w:val="auto"/>
          <w:kern w:val="0"/>
          <w:sz w:val="28"/>
          <w:szCs w:val="28"/>
        </w:rPr>
      </w:pPr>
      <w:bookmarkStart w:id="4" w:name="_GoBack"/>
      <w:bookmarkEnd w:id="4"/>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38A36C6B"/>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447558"/>
    <w:rsid w:val="0DE05630"/>
    <w:rsid w:val="104C7485"/>
    <w:rsid w:val="16FD0578"/>
    <w:rsid w:val="1BAF0A67"/>
    <w:rsid w:val="23D96EAA"/>
    <w:rsid w:val="24F15196"/>
    <w:rsid w:val="2A1A666F"/>
    <w:rsid w:val="2B946F65"/>
    <w:rsid w:val="2D8321C2"/>
    <w:rsid w:val="2EE92518"/>
    <w:rsid w:val="302E1453"/>
    <w:rsid w:val="3214796D"/>
    <w:rsid w:val="36EB413B"/>
    <w:rsid w:val="38A36C6B"/>
    <w:rsid w:val="450F61CB"/>
    <w:rsid w:val="4A3E05CE"/>
    <w:rsid w:val="4A437691"/>
    <w:rsid w:val="4BD91CDD"/>
    <w:rsid w:val="4F731BF1"/>
    <w:rsid w:val="502F15FB"/>
    <w:rsid w:val="503F23C3"/>
    <w:rsid w:val="51935037"/>
    <w:rsid w:val="553A03CB"/>
    <w:rsid w:val="58763D60"/>
    <w:rsid w:val="58F547A5"/>
    <w:rsid w:val="58FC5014"/>
    <w:rsid w:val="59661C56"/>
    <w:rsid w:val="5BDF2ED1"/>
    <w:rsid w:val="5EB93965"/>
    <w:rsid w:val="5F7C4535"/>
    <w:rsid w:val="624F5E3E"/>
    <w:rsid w:val="6404560A"/>
    <w:rsid w:val="64F75746"/>
    <w:rsid w:val="66B216B2"/>
    <w:rsid w:val="679D04BA"/>
    <w:rsid w:val="6851522E"/>
    <w:rsid w:val="6898646D"/>
    <w:rsid w:val="6C5A27B0"/>
    <w:rsid w:val="72330BA4"/>
    <w:rsid w:val="73744CD2"/>
    <w:rsid w:val="742B7C3A"/>
    <w:rsid w:val="7C317407"/>
    <w:rsid w:val="7CB4442B"/>
    <w:rsid w:val="7E3655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 w:type="paragraph" w:customStyle="1" w:styleId="17">
    <w:name w:val="正文1"/>
    <w:next w:val="18"/>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8">
    <w:name w:val="正文文本1"/>
    <w:basedOn w:val="17"/>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96;&#20214;&#23457;&#26680;\7&#27431;&#25299;&#22823;&#27668;&#27861;45&#26465;\22-1.&#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22-1.行政处罚决定书（申辩）.dot</Template>
  <Pages>6</Pages>
  <Words>2856</Words>
  <Characters>3131</Characters>
  <Lines>8</Lines>
  <Paragraphs>2</Paragraphs>
  <TotalTime>24</TotalTime>
  <ScaleCrop>false</ScaleCrop>
  <LinksUpToDate>false</LinksUpToDate>
  <CharactersWithSpaces>3258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2024-05-30T07:32:00Z</dcterms:created>
  <dc:creator>暗香</dc:creator>
  <cp:lastModifiedBy>暗香</cp:lastModifiedBy>
  <dcterms:modified xsi:type="dcterms:W3CDTF">2024-06-26T06:23:27Z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AEAD9F7AB04744D98CD2FD7FEB91F943_11</vt:lpwstr>
  </property>
</Properties>
</file>