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81</w:t>
      </w:r>
      <w:r>
        <w:rPr>
          <w:rFonts w:eastAsia="仿宋_GB2312"/>
          <w:color w:val="auto"/>
          <w:kern w:val="0"/>
          <w:position w:val="-2"/>
          <w:sz w:val="32"/>
          <w:szCs w:val="32"/>
        </w:rPr>
        <w:t>号</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当事人名称：天津伟顺建筑工程有限公司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统一社会信用代码：91120113MA05K31J0K</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法定代表人：许洪伟</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住所：天津市北辰区北仓镇李咀村学校西5排4号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我局</w:t>
      </w:r>
      <w:r>
        <w:rPr>
          <w:rFonts w:hint="eastAsia" w:ascii="Times New Roman" w:hAnsi="Times New Roman" w:eastAsia="仿宋_GB2312"/>
          <w:color w:val="auto"/>
          <w:sz w:val="32"/>
          <w:szCs w:val="32"/>
          <w:lang w:val="en-US" w:eastAsia="zh-CN"/>
        </w:rPr>
        <w:t>于2024年4月16日对歌山建设集团有限公司承建的津北辰新（挂）2021-019号地块项目工地进行了检查，该施工工地位于天津市北辰区顺义道与新峰路交口，属于《天津市人民政府关于划定禁止使用高排放非道路移动机械区域的通告》（津政规〔2022〕2号）规定的禁止使用高排放非道路移动机械区域。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现场检查时，该施工工地有1台日立牌挖掘机（发动机型号：HPV102FWRH25A，发动机编码：00120）和1台杭叉牌叉车（发动机型号：4D27G31，机械VIN码：G5BAG2953，发动机额定净功率：36.8kW）正在施工作业。天津市生态环境保护综合行政执法总队委托天津市生态环境监测中心对上述挖掘机和叉车进行尾气采样监测。《监测报告》〔津环监（监）7-2404007-7号〕显示上述挖掘机尾气光吸收系数为3.22m</w:t>
      </w:r>
      <w:r>
        <w:rPr>
          <w:rFonts w:hint="eastAsia" w:ascii="Times New Roman" w:hAnsi="Times New Roman" w:eastAsia="仿宋_GB2312"/>
          <w:color w:val="auto"/>
          <w:sz w:val="32"/>
          <w:szCs w:val="32"/>
          <w:vertAlign w:val="superscript"/>
          <w:lang w:val="en-US" w:eastAsia="zh-CN"/>
        </w:rPr>
        <w:t>-1</w:t>
      </w:r>
      <w:r>
        <w:rPr>
          <w:rFonts w:hint="eastAsia" w:ascii="Times New Roman" w:hAnsi="Times New Roman" w:eastAsia="仿宋_GB2312"/>
          <w:color w:val="auto"/>
          <w:sz w:val="32"/>
          <w:szCs w:val="32"/>
          <w:lang w:val="en-US" w:eastAsia="zh-CN"/>
        </w:rPr>
        <w:t>（光吸收系数最大限值为0.8m</w:t>
      </w:r>
      <w:r>
        <w:rPr>
          <w:rFonts w:hint="eastAsia" w:ascii="Times New Roman" w:hAnsi="Times New Roman" w:eastAsia="仿宋_GB2312"/>
          <w:color w:val="auto"/>
          <w:sz w:val="32"/>
          <w:szCs w:val="32"/>
          <w:vertAlign w:val="superscript"/>
          <w:lang w:val="en-US" w:eastAsia="zh-CN"/>
        </w:rPr>
        <w:t>-1</w:t>
      </w:r>
      <w:r>
        <w:rPr>
          <w:rFonts w:hint="eastAsia" w:ascii="Times New Roman" w:hAnsi="Times New Roman" w:eastAsia="仿宋_GB2312"/>
          <w:color w:val="auto"/>
          <w:sz w:val="32"/>
          <w:szCs w:val="32"/>
          <w:lang w:val="en-US" w:eastAsia="zh-CN"/>
        </w:rPr>
        <w:t>）、《监测报告》〔津环监（监）7-2404007-8号〕显示上述叉车尾气光吸收系数为1.38m</w:t>
      </w:r>
      <w:r>
        <w:rPr>
          <w:rFonts w:hint="eastAsia" w:ascii="Times New Roman" w:hAnsi="Times New Roman" w:eastAsia="仿宋_GB2312"/>
          <w:color w:val="auto"/>
          <w:sz w:val="32"/>
          <w:szCs w:val="32"/>
          <w:vertAlign w:val="superscript"/>
          <w:lang w:val="en-US" w:eastAsia="zh-CN"/>
        </w:rPr>
        <w:t>-1</w:t>
      </w:r>
      <w:r>
        <w:rPr>
          <w:rFonts w:hint="eastAsia" w:ascii="Times New Roman" w:hAnsi="Times New Roman" w:eastAsia="仿宋_GB2312"/>
          <w:color w:val="auto"/>
          <w:sz w:val="32"/>
          <w:szCs w:val="32"/>
          <w:lang w:val="en-US" w:eastAsia="zh-CN"/>
        </w:rPr>
        <w:t>（光吸收系数最大限值为0.8m</w:t>
      </w:r>
      <w:r>
        <w:rPr>
          <w:rFonts w:hint="eastAsia" w:ascii="Times New Roman" w:hAnsi="Times New Roman" w:eastAsia="仿宋_GB2312"/>
          <w:color w:val="auto"/>
          <w:sz w:val="32"/>
          <w:szCs w:val="32"/>
          <w:vertAlign w:val="superscript"/>
          <w:lang w:val="en-US" w:eastAsia="zh-CN"/>
        </w:rPr>
        <w:t>-1</w:t>
      </w:r>
      <w:r>
        <w:rPr>
          <w:rFonts w:hint="eastAsia" w:ascii="Times New Roman" w:hAnsi="Times New Roman" w:eastAsia="仿宋_GB2312"/>
          <w:color w:val="auto"/>
          <w:sz w:val="32"/>
          <w:szCs w:val="32"/>
          <w:lang w:val="en-US" w:eastAsia="zh-CN"/>
        </w:rPr>
        <w:t>），上述挖掘机和叉车尾气光吸收系数均不符合《非道路柴油移动机械排气烟度限值及测量方法》（GB36886-2018）“4.1.3 城市人民政府可以根据大气环境质量状况，划定并公布禁止使用高排放非道路柴油移动机械的区域，限定区域内可选择执行表1中的非道路柴油移动机械烟度排放的Ⅲ类限值（额定净功率≥37kW时，光吸收系数不得超过0.50m</w:t>
      </w:r>
      <w:r>
        <w:rPr>
          <w:rFonts w:hint="eastAsia" w:ascii="Times New Roman" w:hAnsi="Times New Roman" w:eastAsia="仿宋_GB2312"/>
          <w:color w:val="auto"/>
          <w:sz w:val="32"/>
          <w:szCs w:val="32"/>
          <w:vertAlign w:val="superscript"/>
          <w:lang w:val="en-US" w:eastAsia="zh-CN"/>
        </w:rPr>
        <w:t>-1</w:t>
      </w:r>
      <w:r>
        <w:rPr>
          <w:rFonts w:hint="eastAsia" w:ascii="Times New Roman" w:hAnsi="Times New Roman" w:eastAsia="仿宋_GB2312"/>
          <w:color w:val="auto"/>
          <w:sz w:val="32"/>
          <w:szCs w:val="32"/>
          <w:lang w:val="en-US" w:eastAsia="zh-CN"/>
        </w:rPr>
        <w:t>；额定净功率&lt;37kW时，光吸收系数不得超过0.80m</w:t>
      </w:r>
      <w:r>
        <w:rPr>
          <w:rFonts w:hint="eastAsia" w:ascii="Times New Roman" w:hAnsi="Times New Roman" w:eastAsia="仿宋_GB2312"/>
          <w:color w:val="auto"/>
          <w:sz w:val="32"/>
          <w:szCs w:val="32"/>
          <w:vertAlign w:val="superscript"/>
          <w:lang w:val="en-US" w:eastAsia="zh-CN"/>
        </w:rPr>
        <w:t>-1</w:t>
      </w:r>
      <w:r>
        <w:rPr>
          <w:rFonts w:hint="eastAsia" w:ascii="Times New Roman" w:hAnsi="Times New Roman" w:eastAsia="仿宋_GB2312"/>
          <w:color w:val="auto"/>
          <w:sz w:val="32"/>
          <w:szCs w:val="32"/>
          <w:lang w:val="en-US" w:eastAsia="zh-CN"/>
        </w:rPr>
        <w:t>）”。经调查，上述挖掘机和叉车为你单位所有并入场使用。</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以上事实，有</w:t>
      </w:r>
      <w:bookmarkStart w:id="3" w:name="PO_4_ShiShiZhengJu"/>
      <w:r>
        <w:rPr>
          <w:rFonts w:hint="eastAsia" w:ascii="Times New Roman" w:hAnsi="Times New Roman" w:eastAsia="仿宋_GB2312"/>
          <w:color w:val="auto"/>
          <w:sz w:val="32"/>
          <w:szCs w:val="32"/>
          <w:lang w:val="en-US" w:eastAsia="zh-CN"/>
        </w:rPr>
        <w:t>《天津市生态环境局现场检查（勘察）笔录》《天津市生态环境局调查询问笔录》《天津市人民政府关于划定使用高排放非道路移动机械区域的通告》（津政规〔2022〕2号）、现场拍摄机械设备照片、《监测报告》〔津环监（监）7-2404007-7号〕、《监测报告》〔津环监（监）7-2404007-8号〕、《非道路柴油移动机械排气烟度限值及测量方法》（GB36886-2018）、你单位提供的《建设工程施工专业分包合同》《建设工程安全生产管理协议》、现场拍摄的视频以及营业执照复印件</w:t>
      </w:r>
      <w:bookmarkEnd w:id="3"/>
      <w:r>
        <w:rPr>
          <w:rFonts w:hint="eastAsia" w:ascii="Times New Roman" w:hAnsi="Times New Roman" w:eastAsia="仿宋_GB2312"/>
          <w:color w:val="auto"/>
          <w:sz w:val="32"/>
          <w:szCs w:val="32"/>
          <w:lang w:val="en-US" w:eastAsia="zh-CN"/>
        </w:rPr>
        <w:t>等证据为凭</w:t>
      </w:r>
      <w:r>
        <w:rPr>
          <w:rFonts w:ascii="Times New Roman" w:hAnsi="Times New Roman" w:eastAsia="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你单位上述行为违反了</w:t>
      </w:r>
      <w:r>
        <w:rPr>
          <w:rFonts w:hint="eastAsia" w:ascii="Times New Roman" w:hAnsi="Times New Roman" w:eastAsia="仿宋_GB2312"/>
          <w:color w:val="auto"/>
          <w:sz w:val="32"/>
          <w:szCs w:val="32"/>
          <w:lang w:val="en-US" w:eastAsia="zh-CN"/>
        </w:rPr>
        <w:t>《天津市机动车和非道路移动机械排放污染防治条例》第十二条第一款和第二十一条的规定</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eastAsia="zh-CN"/>
        </w:rPr>
        <w:t>属</w:t>
      </w:r>
      <w:r>
        <w:rPr>
          <w:rFonts w:hint="eastAsia" w:ascii="Times New Roman" w:hAnsi="Times New Roman" w:eastAsia="仿宋_GB2312" w:cs="Times New Roman"/>
          <w:color w:val="auto"/>
          <w:kern w:val="0"/>
          <w:sz w:val="32"/>
          <w:szCs w:val="32"/>
          <w:lang w:eastAsia="zh-CN"/>
        </w:rPr>
        <w:t>于</w:t>
      </w:r>
      <w:r>
        <w:rPr>
          <w:rFonts w:hint="eastAsia" w:ascii="Times New Roman" w:hAnsi="Times New Roman" w:eastAsia="仿宋_GB2312" w:cs="Times New Roman"/>
          <w:color w:val="auto"/>
          <w:kern w:val="0"/>
          <w:sz w:val="32"/>
          <w:szCs w:val="32"/>
          <w:lang w:val="en-US" w:eastAsia="zh-CN"/>
        </w:rPr>
        <w:t>在禁止使用高排放非道路移动机械区域使用高排放非道路移动机械的环境违法行为，</w:t>
      </w:r>
      <w:r>
        <w:rPr>
          <w:rFonts w:ascii="Times New Roman" w:hAnsi="Times New Roman"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年</w:t>
      </w:r>
      <w:r>
        <w:rPr>
          <w:rFonts w:hint="eastAsia" w:eastAsia="仿宋_GB2312"/>
          <w:color w:val="auto"/>
          <w:kern w:val="0"/>
          <w:sz w:val="32"/>
          <w:szCs w:val="32"/>
          <w:lang w:val="en-US" w:eastAsia="zh-CN"/>
        </w:rPr>
        <w:t>5</w:t>
      </w:r>
      <w:r>
        <w:rPr>
          <w:rFonts w:ascii="Times New Roman" w:hAnsi="Times New Roman" w:eastAsia="仿宋_GB2312"/>
          <w:color w:val="auto"/>
          <w:kern w:val="0"/>
          <w:sz w:val="32"/>
          <w:szCs w:val="32"/>
        </w:rPr>
        <w:t>月</w:t>
      </w:r>
      <w:r>
        <w:rPr>
          <w:rFonts w:hint="eastAsia" w:eastAsia="仿宋_GB2312"/>
          <w:color w:val="auto"/>
          <w:kern w:val="0"/>
          <w:sz w:val="32"/>
          <w:szCs w:val="32"/>
          <w:lang w:val="en-US" w:eastAsia="zh-CN"/>
        </w:rPr>
        <w:t>21</w:t>
      </w:r>
      <w:r>
        <w:rPr>
          <w:rFonts w:ascii="Times New Roman" w:hAnsi="Times New Roman" w:eastAsia="仿宋_GB2312"/>
          <w:color w:val="auto"/>
          <w:kern w:val="0"/>
          <w:sz w:val="32"/>
          <w:szCs w:val="32"/>
        </w:rPr>
        <w:t>日以《天津市生态环境局行政</w:t>
      </w:r>
      <w:r>
        <w:rPr>
          <w:rFonts w:hint="eastAsia" w:ascii="Times New Roman" w:hAnsi="Times New Roman" w:eastAsia="仿宋_GB2312"/>
          <w:color w:val="auto"/>
          <w:kern w:val="0"/>
          <w:sz w:val="32"/>
          <w:szCs w:val="32"/>
        </w:rPr>
        <w:t>处罚事先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rPr>
        <w:t>事</w:t>
      </w:r>
      <w:r>
        <w:rPr>
          <w:rFonts w:ascii="Times New Roman" w:hAnsi="Times New Roman" w:eastAsia="仿宋_GB2312"/>
          <w:color w:val="auto"/>
          <w:kern w:val="0"/>
          <w:sz w:val="32"/>
          <w:szCs w:val="32"/>
        </w:rPr>
        <w:t>告字〔20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eastAsia="仿宋_GB2312"/>
          <w:color w:val="auto"/>
          <w:kern w:val="0"/>
          <w:sz w:val="32"/>
          <w:szCs w:val="32"/>
          <w:lang w:val="en-US" w:eastAsia="zh-CN"/>
        </w:rPr>
        <w:t>63</w:t>
      </w:r>
      <w:r>
        <w:rPr>
          <w:rFonts w:ascii="Times New Roman" w:hAnsi="Times New Roman" w:eastAsia="仿宋_GB2312"/>
          <w:color w:val="auto"/>
          <w:kern w:val="0"/>
          <w:sz w:val="32"/>
          <w:szCs w:val="32"/>
        </w:rPr>
        <w:t>号），告知你单位违法事实、处罚依据和拟作出的处罚决定，并明确告知你单位有权进行陈述</w:t>
      </w:r>
      <w:r>
        <w:rPr>
          <w:rFonts w:hint="eastAsia" w:ascii="Times New Roman" w:hAnsi="Times New Roman" w:eastAsia="仿宋_GB2312"/>
          <w:color w:val="auto"/>
          <w:kern w:val="0"/>
          <w:sz w:val="32"/>
          <w:szCs w:val="32"/>
        </w:rPr>
        <w:t>、申辩</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rPr>
        <w:t>我局于20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年</w:t>
      </w:r>
      <w:r>
        <w:rPr>
          <w:rFonts w:hint="eastAsia" w:eastAsia="仿宋_GB2312"/>
          <w:color w:val="auto"/>
          <w:kern w:val="0"/>
          <w:sz w:val="32"/>
          <w:szCs w:val="32"/>
          <w:lang w:val="en-US" w:eastAsia="zh-CN"/>
        </w:rPr>
        <w:t>5</w:t>
      </w:r>
      <w:r>
        <w:rPr>
          <w:rFonts w:hint="eastAsia" w:ascii="Times New Roman" w:hAnsi="Times New Roman" w:eastAsia="仿宋_GB2312"/>
          <w:color w:val="auto"/>
          <w:kern w:val="0"/>
          <w:sz w:val="32"/>
          <w:szCs w:val="32"/>
        </w:rPr>
        <w:t>月</w:t>
      </w:r>
      <w:r>
        <w:rPr>
          <w:rFonts w:hint="eastAsia" w:eastAsia="仿宋_GB2312"/>
          <w:color w:val="auto"/>
          <w:kern w:val="0"/>
          <w:sz w:val="32"/>
          <w:szCs w:val="32"/>
          <w:lang w:val="en-US" w:eastAsia="zh-CN"/>
        </w:rPr>
        <w:t>22</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送达上述文件，你单位于当日签收。你单位逾期未向我局提出陈述</w:t>
      </w:r>
      <w:r>
        <w:rPr>
          <w:rFonts w:hint="eastAsia" w:eastAsia="仿宋_GB2312"/>
          <w:color w:val="auto"/>
          <w:kern w:val="0"/>
          <w:sz w:val="32"/>
          <w:szCs w:val="32"/>
          <w:lang w:eastAsia="zh-CN"/>
        </w:rPr>
        <w:t>、</w:t>
      </w:r>
      <w:r>
        <w:rPr>
          <w:rFonts w:hint="eastAsia" w:ascii="Times New Roman" w:hAnsi="Times New Roman" w:eastAsia="仿宋_GB2312"/>
          <w:color w:val="auto"/>
          <w:kern w:val="0"/>
          <w:sz w:val="32"/>
          <w:szCs w:val="32"/>
        </w:rPr>
        <w:t>申辩意见。</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以上事实，有《天津市生态环境局行政处罚事先告知书》（津市环事告字〔20</w:t>
      </w:r>
      <w:r>
        <w:rPr>
          <w:rFonts w:hint="eastAsia" w:ascii="Times New Roman" w:hAnsi="Times New Roman" w:eastAsia="仿宋_GB2312"/>
          <w:color w:val="auto"/>
          <w:kern w:val="0"/>
          <w:sz w:val="32"/>
          <w:szCs w:val="32"/>
          <w:lang w:val="en-US" w:eastAsia="zh-CN"/>
        </w:rPr>
        <w:t>24</w:t>
      </w:r>
      <w:r>
        <w:rPr>
          <w:rFonts w:hint="eastAsia" w:ascii="Times New Roman" w:hAnsi="Times New Roman" w:eastAsia="仿宋_GB2312"/>
          <w:color w:val="auto"/>
          <w:kern w:val="0"/>
          <w:sz w:val="32"/>
          <w:szCs w:val="32"/>
        </w:rPr>
        <w:t>〕</w:t>
      </w:r>
      <w:r>
        <w:rPr>
          <w:rFonts w:hint="eastAsia" w:eastAsia="仿宋_GB2312"/>
          <w:color w:val="auto"/>
          <w:kern w:val="0"/>
          <w:sz w:val="32"/>
          <w:szCs w:val="32"/>
          <w:lang w:val="en-US" w:eastAsia="zh-CN"/>
        </w:rPr>
        <w:t>63</w:t>
      </w:r>
      <w:r>
        <w:rPr>
          <w:rFonts w:hint="eastAsia" w:ascii="Times New Roman" w:hAnsi="Times New Roman" w:eastAsia="仿宋_GB2312"/>
          <w:color w:val="auto"/>
          <w:kern w:val="0"/>
          <w:sz w:val="32"/>
          <w:szCs w:val="32"/>
        </w:rPr>
        <w:t>号）及《天津市生态环境局送达回证》等证据为凭。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经集体审议研究，本案违法事实清楚、执法程序合法、法律适用准确、处罚幅度裁量合理。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依据</w:t>
      </w:r>
      <w:r>
        <w:rPr>
          <w:rFonts w:hint="eastAsia" w:ascii="Times New Roman" w:hAnsi="Times New Roman" w:eastAsia="仿宋_GB2312"/>
          <w:color w:val="auto"/>
          <w:sz w:val="32"/>
          <w:szCs w:val="32"/>
          <w:lang w:val="en-US" w:eastAsia="zh-CN"/>
        </w:rPr>
        <w:t>《天津市机动车和非道路移动机械排放污染防治条例》第五十条的规定</w:t>
      </w:r>
      <w:r>
        <w:rPr>
          <w:rFonts w:hint="eastAsia" w:ascii="Times New Roman" w:hAnsi="Times New Roman"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rPr>
        <w:t>责令你单位</w:t>
      </w:r>
      <w:r>
        <w:rPr>
          <w:rFonts w:hint="eastAsia" w:ascii="Times New Roman" w:hAnsi="Times New Roman" w:eastAsia="仿宋_GB2312"/>
          <w:color w:val="auto"/>
          <w:kern w:val="0"/>
          <w:sz w:val="32"/>
          <w:szCs w:val="32"/>
          <w:lang w:val="en-US" w:eastAsia="zh-CN"/>
        </w:rPr>
        <w:t>停止使用上述两台非道路移动机械</w:t>
      </w:r>
      <w:r>
        <w:rPr>
          <w:rFonts w:hint="eastAsia"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2.对你单位处罚款</w:t>
      </w:r>
      <w:r>
        <w:rPr>
          <w:rFonts w:hint="eastAsia" w:ascii="Times New Roman" w:hAnsi="Times New Roman" w:eastAsia="仿宋_GB2312"/>
          <w:color w:val="auto"/>
          <w:kern w:val="0"/>
          <w:sz w:val="32"/>
          <w:szCs w:val="32"/>
          <w:lang w:val="en-US" w:eastAsia="zh-CN"/>
        </w:rPr>
        <w:t>五万五千元</w:t>
      </w:r>
      <w:r>
        <w:rPr>
          <w:rFonts w:ascii="Times New Roman" w:hAnsi="Times New Roman"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Times New Roman" w:hAnsi="Times New Roman" w:eastAsia="仿宋_GB2312"/>
          <w:color w:val="auto"/>
          <w:kern w:val="0"/>
          <w:sz w:val="32"/>
          <w:szCs w:val="32"/>
          <w:lang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val="en-US" w:eastAsia="zh-CN"/>
        </w:rPr>
        <w:t>停止使用上述两台非道路移动机械</w:t>
      </w:r>
      <w:r>
        <w:rPr>
          <w:rFonts w:hint="eastAsia" w:ascii="Times New Roman" w:hAnsi="Times New Roman" w:eastAsia="仿宋_GB2312"/>
          <w:color w:val="auto"/>
          <w:kern w:val="0"/>
          <w:sz w:val="32"/>
          <w:szCs w:val="32"/>
          <w:lang w:eastAsia="zh-CN"/>
        </w:rPr>
        <w:t>，不得在</w:t>
      </w:r>
      <w:r>
        <w:rPr>
          <w:rFonts w:hint="eastAsia" w:ascii="Times New Roman" w:hAnsi="Times New Roman" w:eastAsia="仿宋_GB2312"/>
          <w:color w:val="auto"/>
          <w:kern w:val="0"/>
          <w:sz w:val="32"/>
          <w:szCs w:val="32"/>
          <w:lang w:val="en-US" w:eastAsia="zh-CN"/>
        </w:rPr>
        <w:t>禁止使用高排放非道路移动机械区域内使用高排放非道路移动机械。</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ascii="Times New Roman" w:hAnsi="Times New Roman" w:eastAsia="仿宋_GB2312"/>
          <w:color w:val="auto"/>
          <w:kern w:val="0"/>
          <w:sz w:val="32"/>
          <w:szCs w:val="32"/>
        </w:rPr>
        <w:t>依据《中华人民共和国行政处罚法》和《罚款决定与罚款收缴分离实施办法》的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hint="eastAsia"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hint="eastAsia" w:ascii="Times New Roman" w:hAnsi="Times New Roman" w:eastAsia="仿宋_GB2312"/>
          <w:color w:val="auto"/>
          <w:kern w:val="0"/>
          <w:sz w:val="32"/>
          <w:szCs w:val="32"/>
        </w:rPr>
        <w:t>领取《非税收入统一缴款书（缴款通知书）》并缴至指定银行。你单位逾期不缴纳罚款的，我局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hint="eastAsia" w:ascii="Times New Roman" w:hAnsi="Times New Roman"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Style w:val="14"/>
          <w:rFonts w:hint="eastAsia" w:eastAsia="仿宋_GB2312"/>
          <w:color w:val="auto"/>
          <w:kern w:val="0"/>
          <w:sz w:val="32"/>
          <w:szCs w:val="32"/>
          <w:u w:val="none"/>
          <w:lang w:val="en-US" w:eastAsia="zh-CN"/>
        </w:rPr>
      </w:pPr>
      <w:r>
        <w:rPr>
          <w:rStyle w:val="14"/>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eastAsia="仿宋_GB2312"/>
          <w:color w:val="auto"/>
          <w:kern w:val="0"/>
          <w:sz w:val="32"/>
          <w:szCs w:val="32"/>
          <w:u w:val="none"/>
          <w:lang w:val="en-US" w:eastAsia="zh-CN"/>
        </w:rPr>
        <w:t>南开区人民法院申请强制执行。</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21</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jc w:val="both"/>
        <w:textAlignment w:val="auto"/>
        <w:rPr>
          <w:rFonts w:eastAsia="仿宋_GB2312"/>
          <w:color w:val="auto"/>
          <w:kern w:val="0"/>
          <w:sz w:val="28"/>
          <w:szCs w:val="28"/>
        </w:rPr>
      </w:pPr>
      <w:bookmarkStart w:id="5" w:name="_GoBack"/>
      <w:bookmarkEnd w:id="5"/>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1984" w:right="1417" w:bottom="1871" w:left="1474"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AAA6371"/>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2CA5B28"/>
    <w:rsid w:val="14D06588"/>
    <w:rsid w:val="16FD0578"/>
    <w:rsid w:val="19143FA0"/>
    <w:rsid w:val="1BAF0A67"/>
    <w:rsid w:val="1C2C4C0F"/>
    <w:rsid w:val="1EAA5E9C"/>
    <w:rsid w:val="1FF343B9"/>
    <w:rsid w:val="23D96EAA"/>
    <w:rsid w:val="24F15196"/>
    <w:rsid w:val="26995221"/>
    <w:rsid w:val="26B02437"/>
    <w:rsid w:val="28162510"/>
    <w:rsid w:val="2A1A666F"/>
    <w:rsid w:val="2B946F65"/>
    <w:rsid w:val="2D8321C2"/>
    <w:rsid w:val="2EE92518"/>
    <w:rsid w:val="3214796D"/>
    <w:rsid w:val="3E4B53BF"/>
    <w:rsid w:val="40DD74BA"/>
    <w:rsid w:val="450F61CB"/>
    <w:rsid w:val="4A3E05CE"/>
    <w:rsid w:val="4A437691"/>
    <w:rsid w:val="4BD91CDD"/>
    <w:rsid w:val="4F731BF1"/>
    <w:rsid w:val="502F15FB"/>
    <w:rsid w:val="503F23C3"/>
    <w:rsid w:val="51355D30"/>
    <w:rsid w:val="51935037"/>
    <w:rsid w:val="547825CF"/>
    <w:rsid w:val="553A03CB"/>
    <w:rsid w:val="58763D60"/>
    <w:rsid w:val="58BF2654"/>
    <w:rsid w:val="5BDF2ED1"/>
    <w:rsid w:val="5DA44D9E"/>
    <w:rsid w:val="5F7C4535"/>
    <w:rsid w:val="621E4BB2"/>
    <w:rsid w:val="624F5E3E"/>
    <w:rsid w:val="6404560A"/>
    <w:rsid w:val="64F75746"/>
    <w:rsid w:val="66B216B2"/>
    <w:rsid w:val="679D04BA"/>
    <w:rsid w:val="6851522E"/>
    <w:rsid w:val="6A2C0398"/>
    <w:rsid w:val="6C225043"/>
    <w:rsid w:val="6C5A27B0"/>
    <w:rsid w:val="6CB92618"/>
    <w:rsid w:val="711C5353"/>
    <w:rsid w:val="72330BA4"/>
    <w:rsid w:val="73744CD2"/>
    <w:rsid w:val="742B7C3A"/>
    <w:rsid w:val="7AAA6371"/>
    <w:rsid w:val="7C317407"/>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sz w:val="24"/>
    </w:rPr>
  </w:style>
  <w:style w:type="paragraph" w:styleId="7">
    <w:name w:val="Balloon Text"/>
    <w:basedOn w:val="1"/>
    <w:link w:val="15"/>
    <w:qFormat/>
    <w:uiPriority w:val="0"/>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qFormat/>
    <w:uiPriority w:val="0"/>
    <w:rPr>
      <w:kern w:val="2"/>
      <w:sz w:val="18"/>
      <w:szCs w:val="18"/>
    </w:rPr>
  </w:style>
  <w:style w:type="character" w:customStyle="1" w:styleId="16">
    <w:name w:val="页脚 字符"/>
    <w:link w:val="8"/>
    <w:autoRedefine/>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12304;ZSD&#23457;&#26597;&#12305;2022&#24180;2023&#24180;2024&#24180;\&#12304;2024&#24180;&#12305;&#23457;&#26597;&#26696;&#20214;\D007&#8212;&#37995;&#28304;&#30707;&#21270;&#65288;5&#26376;13&#26085;&#20108;&#23457;&#65289;\007&#8212;&#34892;&#25919;&#22788;&#32602;&#20915;&#23450;&#20070;&#65288;&#37995;&#28304;&#30707;&#21270;&#12304;2024&#12305;57&#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007—行政处罚决定书（鑫源石化【2024】57号）.dot</Template>
  <Pages>4</Pages>
  <Words>1842</Words>
  <Characters>2084</Characters>
  <Lines>8</Lines>
  <Paragraphs>2</Paragraphs>
  <TotalTime>3</TotalTime>
  <ScaleCrop>false</ScaleCrop>
  <LinksUpToDate>false</LinksUpToDate>
  <CharactersWithSpaces>2169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2024-05-13T08:40:00Z</dcterms:created>
  <dc:creator>孙国力</dc:creator>
  <cp:lastModifiedBy>孙国力</cp:lastModifiedBy>
  <cp:lastPrinted>2024-06-21T10:24:00Z</cp:lastPrinted>
  <dcterms:modified xsi:type="dcterms:W3CDTF">2024-06-22T02:12:30Z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AE6CA1BAD8084241B0EACFFE9BBE09C6_11</vt:lpwstr>
  </property>
</Properties>
</file>