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49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78</w:t>
      </w:r>
      <w:r>
        <w:rPr>
          <w:rFonts w:eastAsia="仿宋_GB2312"/>
          <w:color w:val="auto"/>
          <w:kern w:val="0"/>
          <w:position w:val="-2"/>
          <w:sz w:val="32"/>
          <w:szCs w:val="32"/>
        </w:rPr>
        <w:t>号</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490" w:lineRule="exact"/>
        <w:jc w:val="left"/>
        <w:textAlignment w:val="auto"/>
        <w:rPr>
          <w:rFonts w:hint="eastAsia" w:eastAsia="仿宋_GB2312"/>
          <w:color w:val="auto"/>
          <w:kern w:val="0"/>
          <w:sz w:val="21"/>
          <w:szCs w:val="21"/>
          <w:lang w:val="en-US" w:eastAsia="zh-CN"/>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49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eastAsia="仿宋_GB2312"/>
          <w:color w:val="000000"/>
          <w:sz w:val="32"/>
          <w:szCs w:val="32"/>
          <w:lang w:eastAsia="zh-CN"/>
        </w:rPr>
        <w:t>天津鸿盛恒达建筑工程有限公司</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49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000000"/>
          <w:sz w:val="32"/>
          <w:szCs w:val="32"/>
          <w:lang w:val="en-US" w:eastAsia="zh-CN"/>
        </w:rPr>
        <w:t>91120103MA06WQW79X</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490" w:lineRule="exact"/>
        <w:ind w:left="960" w:hanging="960" w:hangingChars="300"/>
        <w:jc w:val="left"/>
        <w:textAlignment w:val="auto"/>
        <w:rPr>
          <w:rFonts w:hint="default" w:eastAsia="仿宋_GB2312"/>
          <w:color w:val="auto"/>
          <w:sz w:val="32"/>
          <w:szCs w:val="32"/>
          <w:lang w:val="en-US" w:eastAsia="zh-CN"/>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auto"/>
          <w:kern w:val="0"/>
          <w:sz w:val="32"/>
          <w:szCs w:val="32"/>
          <w:lang w:val="en-US" w:eastAsia="zh-CN"/>
        </w:rPr>
        <w:t>天津市河西区珠江道与白云山路交口西南侧溪水园12-1-402-A</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490" w:lineRule="exact"/>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000000"/>
          <w:sz w:val="32"/>
          <w:szCs w:val="32"/>
          <w:lang w:val="en-US" w:eastAsia="zh-CN"/>
        </w:rPr>
        <w:t>王翠华</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textAlignment w:val="auto"/>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我局于2024年4月26日对天津市河西区人民政府柳林街道办事处柳林街谦福里居委会工程项目工地</w:t>
      </w:r>
      <w:r>
        <w:rPr>
          <w:rFonts w:hint="eastAsia" w:eastAsia="仿宋_GB2312"/>
          <w:sz w:val="32"/>
          <w:szCs w:val="32"/>
        </w:rPr>
        <w:t>进行现场检查。该施工工地位于天津市河西区内东至柳营路</w:t>
      </w:r>
      <w:r>
        <w:rPr>
          <w:rFonts w:hint="eastAsia" w:eastAsia="仿宋_GB2312"/>
          <w:sz w:val="32"/>
          <w:szCs w:val="32"/>
          <w:lang w:eastAsia="zh-CN"/>
        </w:rPr>
        <w:t>、</w:t>
      </w:r>
      <w:r>
        <w:rPr>
          <w:rFonts w:hint="eastAsia" w:eastAsia="仿宋_GB2312"/>
          <w:sz w:val="32"/>
          <w:szCs w:val="32"/>
        </w:rPr>
        <w:t>南至国盛道</w:t>
      </w:r>
      <w:r>
        <w:rPr>
          <w:rFonts w:hint="eastAsia" w:eastAsia="仿宋_GB2312"/>
          <w:sz w:val="32"/>
          <w:szCs w:val="32"/>
          <w:lang w:eastAsia="zh-CN"/>
        </w:rPr>
        <w:t>、</w:t>
      </w:r>
      <w:r>
        <w:rPr>
          <w:rFonts w:hint="eastAsia" w:eastAsia="仿宋_GB2312"/>
          <w:sz w:val="32"/>
          <w:szCs w:val="32"/>
        </w:rPr>
        <w:t>西至鄱阳路</w:t>
      </w:r>
      <w:r>
        <w:rPr>
          <w:rFonts w:hint="eastAsia" w:eastAsia="仿宋_GB2312"/>
          <w:sz w:val="32"/>
          <w:szCs w:val="32"/>
          <w:lang w:eastAsia="zh-CN"/>
        </w:rPr>
        <w:t>、</w:t>
      </w:r>
      <w:r>
        <w:rPr>
          <w:rFonts w:hint="eastAsia" w:eastAsia="仿宋_GB2312"/>
          <w:sz w:val="32"/>
          <w:szCs w:val="32"/>
        </w:rPr>
        <w:t>北至台儿庄南路</w:t>
      </w:r>
      <w:r>
        <w:rPr>
          <w:rFonts w:hint="eastAsia" w:eastAsia="仿宋_GB2312"/>
          <w:color w:val="000000" w:themeColor="text1"/>
          <w:kern w:val="0"/>
          <w:sz w:val="32"/>
          <w:szCs w:val="32"/>
          <w:lang w:val="en-US" w:eastAsia="zh-CN"/>
          <w14:textFill>
            <w14:solidFill>
              <w14:schemeClr w14:val="tx1"/>
            </w14:solidFill>
          </w14:textFill>
        </w:rPr>
        <w:t>，为《天津市人民政府关于划定禁止使用高排放非道路移动机械区域的通告》（津政规〔2022〕2号）规定的禁止使用高排放非道路移动机械一类禁用区。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textAlignment w:val="auto"/>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textAlignment w:val="auto"/>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现场检查时，上述施工工地有一台</w:t>
      </w:r>
      <w:r>
        <w:rPr>
          <w:rFonts w:eastAsia="仿宋_GB2312"/>
          <w:sz w:val="32"/>
          <w:szCs w:val="32"/>
        </w:rPr>
        <w:t>日立牌挖掘机</w:t>
      </w:r>
      <w:r>
        <w:rPr>
          <w:rFonts w:hint="eastAsia" w:eastAsia="仿宋_GB2312"/>
          <w:sz w:val="32"/>
          <w:szCs w:val="32"/>
          <w:lang w:eastAsia="zh-CN"/>
        </w:rPr>
        <w:t>（</w:t>
      </w:r>
      <w:r>
        <w:rPr>
          <w:rFonts w:eastAsia="仿宋_GB2312"/>
          <w:sz w:val="32"/>
          <w:szCs w:val="32"/>
        </w:rPr>
        <w:t>机械型号：ZX200，机械VIN码：HCM1G600T00117013，机械环保标识：2-20009544</w:t>
      </w:r>
      <w:r>
        <w:rPr>
          <w:rFonts w:hint="eastAsia" w:eastAsia="仿宋_GB2312"/>
          <w:sz w:val="32"/>
          <w:szCs w:val="32"/>
          <w:lang w:eastAsia="zh-CN"/>
        </w:rPr>
        <w:t>）</w:t>
      </w:r>
      <w:r>
        <w:rPr>
          <w:rFonts w:eastAsia="仿宋_GB2312"/>
          <w:sz w:val="32"/>
          <w:szCs w:val="32"/>
        </w:rPr>
        <w:t>正在作业</w:t>
      </w:r>
      <w:r>
        <w:rPr>
          <w:rFonts w:hint="eastAsia" w:eastAsia="仿宋_GB2312"/>
          <w:color w:val="000000" w:themeColor="text1"/>
          <w:kern w:val="0"/>
          <w:sz w:val="32"/>
          <w:szCs w:val="32"/>
          <w:lang w:val="en-US" w:eastAsia="zh-CN"/>
          <w14:textFill>
            <w14:solidFill>
              <w14:schemeClr w14:val="tx1"/>
            </w14:solidFill>
          </w14:textFill>
        </w:rPr>
        <w:t>，为你单位入场使用。经查询天津市非道路移动机械信息管理平台，上述挖掘机为国II阶段非道路移动机械，属于《天津市人民政府关于划定禁止使用高排放非道路移动机械区域的通告》（津政规〔2022〕2号）中明确的一类禁用区内禁止使用的非道路移动机械。</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w:t>
      </w:r>
      <w:bookmarkStart w:id="3" w:name="PO_4_ShiShiZhengJu"/>
      <w:r>
        <w:rPr>
          <w:rFonts w:eastAsia="仿宋_GB2312"/>
          <w:color w:val="000000" w:themeColor="text1"/>
          <w:kern w:val="0"/>
          <w:sz w:val="32"/>
          <w:szCs w:val="32"/>
          <w14:textFill>
            <w14:solidFill>
              <w14:schemeClr w14:val="tx1"/>
            </w14:solidFill>
          </w14:textFill>
        </w:rPr>
        <w:t>《天津市生态环境局现</w:t>
      </w:r>
      <w:r>
        <w:rPr>
          <w:rFonts w:hint="eastAsia" w:eastAsia="仿宋_GB2312"/>
          <w:color w:val="000000" w:themeColor="text1"/>
          <w:kern w:val="0"/>
          <w:sz w:val="32"/>
          <w:szCs w:val="32"/>
          <w:lang w:val="en-US" w:eastAsia="zh-CN"/>
          <w14:textFill>
            <w14:solidFill>
              <w14:schemeClr w14:val="tx1"/>
            </w14:solidFill>
          </w14:textFill>
        </w:rPr>
        <w:t>0</w:t>
      </w:r>
      <w:r>
        <w:rPr>
          <w:rFonts w:eastAsia="仿宋_GB2312"/>
          <w:color w:val="000000" w:themeColor="text1"/>
          <w:kern w:val="0"/>
          <w:sz w:val="32"/>
          <w:szCs w:val="32"/>
          <w14:textFill>
            <w14:solidFill>
              <w14:schemeClr w14:val="tx1"/>
            </w14:solidFill>
          </w14:textFill>
        </w:rPr>
        <w:t>场检查（勘察）笔录》《天津市生态环境局调查询问笔录》</w:t>
      </w:r>
      <w:r>
        <w:rPr>
          <w:rFonts w:hint="eastAsia" w:eastAsia="仿宋_GB2312"/>
          <w:color w:val="000000" w:themeColor="text1"/>
          <w:kern w:val="0"/>
          <w:sz w:val="32"/>
          <w:szCs w:val="32"/>
          <w:lang w:val="en-US" w:eastAsia="zh-CN"/>
          <w14:textFill>
            <w14:solidFill>
              <w14:schemeClr w14:val="tx1"/>
            </w14:solidFill>
          </w14:textFill>
        </w:rPr>
        <w:t>《施工机械设备租赁合同》</w:t>
      </w:r>
      <w:r>
        <w:rPr>
          <w:rFonts w:hint="eastAsia" w:eastAsia="仿宋_GB2312"/>
          <w:color w:val="000000" w:themeColor="text1"/>
          <w:sz w:val="32"/>
          <w:szCs w:val="32"/>
          <w:lang w:val="en-US" w:eastAsia="zh-CN"/>
          <w14:textFill>
            <w14:solidFill>
              <w14:schemeClr w14:val="tx1"/>
            </w14:solidFill>
          </w14:textFill>
        </w:rPr>
        <w:t>《天津市人民政府关于划定禁止使用高排放非道路移动机械区域的通告》（津政规〔2022〕2号）、</w:t>
      </w:r>
      <w:r>
        <w:rPr>
          <w:rFonts w:hint="eastAsia" w:eastAsia="仿宋_GB2312"/>
          <w:color w:val="000000" w:themeColor="text1"/>
          <w:kern w:val="0"/>
          <w:sz w:val="32"/>
          <w:szCs w:val="32"/>
          <w:lang w:val="en-US" w:eastAsia="zh-CN"/>
          <w14:textFill>
            <w14:solidFill>
              <w14:schemeClr w14:val="tx1"/>
            </w14:solidFill>
          </w14:textFill>
        </w:rPr>
        <w:t>天津市非道路移动机械信息管理平台查询上述挖掘机</w:t>
      </w:r>
      <w:r>
        <w:rPr>
          <w:rFonts w:hint="eastAsia" w:eastAsia="仿宋_GB2312"/>
          <w:color w:val="000000" w:themeColor="text1"/>
          <w:sz w:val="32"/>
          <w:szCs w:val="32"/>
          <w:lang w:eastAsia="zh-CN"/>
          <w14:textFill>
            <w14:solidFill>
              <w14:schemeClr w14:val="tx1"/>
            </w14:solidFill>
          </w14:textFill>
        </w:rPr>
        <w:t>的</w:t>
      </w:r>
      <w:r>
        <w:rPr>
          <w:rFonts w:hint="eastAsia" w:eastAsia="仿宋_GB2312"/>
          <w:color w:val="000000" w:themeColor="text1"/>
          <w:kern w:val="0"/>
          <w:sz w:val="32"/>
          <w:szCs w:val="32"/>
          <w:lang w:val="en-US" w:eastAsia="zh-CN"/>
          <w14:textFill>
            <w14:solidFill>
              <w14:schemeClr w14:val="tx1"/>
            </w14:solidFill>
          </w14:textFill>
        </w:rPr>
        <w:t>信息截图、</w:t>
      </w:r>
      <w:r>
        <w:rPr>
          <w:rFonts w:eastAsia="仿宋_GB2312"/>
          <w:color w:val="000000" w:themeColor="text1"/>
          <w:sz w:val="32"/>
          <w:szCs w:val="32"/>
          <w14:textFill>
            <w14:solidFill>
              <w14:schemeClr w14:val="tx1"/>
            </w14:solidFill>
          </w14:textFill>
        </w:rPr>
        <w:t>现场拍摄的视频以及营业执照复印件</w:t>
      </w:r>
      <w:bookmarkEnd w:id="3"/>
      <w:r>
        <w:rPr>
          <w:rFonts w:eastAsia="仿宋_GB2312"/>
          <w:color w:val="000000" w:themeColor="text1"/>
          <w:sz w:val="32"/>
          <w:szCs w:val="32"/>
          <w14:textFill>
            <w14:solidFill>
              <w14:schemeClr w14:val="tx1"/>
            </w14:solidFill>
          </w14:textFill>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textAlignment w:val="auto"/>
        <w:rPr>
          <w:rFonts w:eastAsia="仿宋_GB2312"/>
          <w:color w:val="auto"/>
          <w:kern w:val="0"/>
          <w:sz w:val="32"/>
          <w:szCs w:val="32"/>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《天津市机动车和非道路移动机械排放污染防治条例》第十二条第一款</w:t>
      </w:r>
      <w:r>
        <w:rPr>
          <w:rFonts w:eastAsia="仿宋_GB2312"/>
          <w:color w:val="000000" w:themeColor="text1"/>
          <w:sz w:val="32"/>
          <w:szCs w:val="32"/>
          <w14:textFill>
            <w14:solidFill>
              <w14:schemeClr w14:val="tx1"/>
            </w14:solidFill>
          </w14:textFill>
        </w:rPr>
        <w:t>的规定</w:t>
      </w:r>
      <w:r>
        <w:rPr>
          <w:rFonts w:hint="eastAsia" w:eastAsia="仿宋_GB2312"/>
          <w:color w:val="000000" w:themeColor="text1"/>
          <w:sz w:val="32"/>
          <w:szCs w:val="32"/>
          <w:lang w:eastAsia="zh-CN"/>
          <w14:textFill>
            <w14:solidFill>
              <w14:schemeClr w14:val="tx1"/>
            </w14:solidFill>
          </w14:textFill>
        </w:rPr>
        <w:t>，属于</w:t>
      </w:r>
      <w:r>
        <w:rPr>
          <w:rFonts w:hint="eastAsia" w:eastAsia="仿宋_GB2312"/>
          <w:color w:val="000000" w:themeColor="text1"/>
          <w:sz w:val="32"/>
          <w:szCs w:val="32"/>
          <w:lang w:val="en-US" w:eastAsia="zh-CN"/>
          <w14:textFill>
            <w14:solidFill>
              <w14:schemeClr w14:val="tx1"/>
            </w14:solidFill>
          </w14:textFill>
        </w:rPr>
        <w:t>在禁止使用高排放非道路移动机械区域使用高排放非道路移动机械</w:t>
      </w:r>
      <w:r>
        <w:rPr>
          <w:rFonts w:hint="eastAsia" w:eastAsia="仿宋_GB2312"/>
          <w:color w:val="auto"/>
          <w:kern w:val="0"/>
          <w:sz w:val="32"/>
          <w:szCs w:val="32"/>
          <w:lang w:val="en-US" w:eastAsia="zh-CN"/>
        </w:rPr>
        <w:t>的环境违法行为</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17</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62</w:t>
      </w:r>
      <w:r>
        <w:rPr>
          <w:rFonts w:eastAsia="仿宋_GB2312"/>
          <w:color w:val="auto"/>
          <w:kern w:val="0"/>
          <w:sz w:val="32"/>
          <w:szCs w:val="32"/>
        </w:rPr>
        <w:t>号），告知你单位违法事实、处罚依据和拟作出的处罚决定，并明确告知你单位</w:t>
      </w:r>
      <w:r>
        <w:rPr>
          <w:rFonts w:hint="eastAsia" w:eastAsia="仿宋_GB2312"/>
          <w:color w:val="auto"/>
          <w:kern w:val="0"/>
          <w:sz w:val="32"/>
          <w:szCs w:val="32"/>
          <w:lang w:val="en-US" w:eastAsia="zh-CN"/>
        </w:rPr>
        <w:t>有权利提出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22</w:t>
      </w:r>
      <w:r>
        <w:rPr>
          <w:rFonts w:hint="eastAsia" w:eastAsia="仿宋_GB2312"/>
          <w:color w:val="auto"/>
          <w:kern w:val="0"/>
          <w:sz w:val="32"/>
          <w:szCs w:val="32"/>
        </w:rPr>
        <w:t>日向你单位送达上述文件，你单位于当日签收。你单位逾期未向我局提出陈述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eastAsia" w:eastAsia="仿宋_GB2312"/>
          <w:color w:val="auto"/>
          <w:kern w:val="0"/>
          <w:sz w:val="32"/>
          <w:szCs w:val="32"/>
        </w:rPr>
      </w:pPr>
      <w:r>
        <w:rPr>
          <w:rFonts w:hint="eastAsia"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hint="eastAsia" w:eastAsia="仿宋_GB2312"/>
          <w:color w:val="auto"/>
          <w:kern w:val="0"/>
          <w:sz w:val="32"/>
          <w:szCs w:val="32"/>
        </w:rPr>
        <w:t>告知书》（津市环</w:t>
      </w:r>
      <w:r>
        <w:rPr>
          <w:rFonts w:hint="eastAsia" w:eastAsia="仿宋_GB2312"/>
          <w:color w:val="auto"/>
          <w:kern w:val="0"/>
          <w:sz w:val="32"/>
          <w:szCs w:val="32"/>
          <w:lang w:eastAsia="zh-CN"/>
        </w:rPr>
        <w:t>事</w:t>
      </w:r>
      <w:r>
        <w:rPr>
          <w:rFonts w:hint="eastAsia" w:eastAsia="仿宋_GB2312"/>
          <w:color w:val="auto"/>
          <w:kern w:val="0"/>
          <w:sz w:val="32"/>
          <w:szCs w:val="32"/>
        </w:rPr>
        <w:t>告〔</w:t>
      </w:r>
      <w:r>
        <w:rPr>
          <w:rFonts w:hint="eastAsia" w:eastAsia="仿宋_GB2312"/>
          <w:color w:val="auto"/>
          <w:kern w:val="0"/>
          <w:sz w:val="32"/>
          <w:szCs w:val="32"/>
          <w:lang w:eastAsia="zh-CN"/>
        </w:rPr>
        <w:t>2024</w:t>
      </w:r>
      <w:r>
        <w:rPr>
          <w:rFonts w:hint="eastAsia" w:eastAsia="仿宋_GB2312"/>
          <w:color w:val="auto"/>
          <w:kern w:val="0"/>
          <w:sz w:val="32"/>
          <w:szCs w:val="32"/>
        </w:rPr>
        <w:t>〕</w:t>
      </w:r>
      <w:r>
        <w:rPr>
          <w:rFonts w:hint="eastAsia" w:eastAsia="仿宋_GB2312"/>
          <w:color w:val="auto"/>
          <w:kern w:val="0"/>
          <w:sz w:val="32"/>
          <w:szCs w:val="32"/>
          <w:lang w:val="en-US" w:eastAsia="zh-CN"/>
        </w:rPr>
        <w:t>62</w:t>
      </w:r>
      <w:r>
        <w:rPr>
          <w:rFonts w:hint="eastAsia" w:eastAsia="仿宋_GB2312"/>
          <w:color w:val="auto"/>
          <w:kern w:val="0"/>
          <w:sz w:val="32"/>
          <w:szCs w:val="32"/>
        </w:rPr>
        <w:t>号）及</w:t>
      </w:r>
      <w:r>
        <w:rPr>
          <w:rFonts w:hint="eastAsia" w:eastAsia="仿宋_GB2312"/>
          <w:color w:val="auto"/>
          <w:kern w:val="0"/>
          <w:sz w:val="32"/>
          <w:szCs w:val="32"/>
          <w:lang w:eastAsia="zh-CN"/>
        </w:rPr>
        <w:t>其</w:t>
      </w:r>
      <w:r>
        <w:rPr>
          <w:rFonts w:hint="eastAsia" w:eastAsia="仿宋_GB2312"/>
          <w:color w:val="auto"/>
          <w:kern w:val="0"/>
          <w:sz w:val="32"/>
          <w:szCs w:val="32"/>
        </w:rPr>
        <w:t>送达回证等证据为凭。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val="en-US" w:eastAsia="zh-CN"/>
        </w:rPr>
        <w:t>本案违法事实清楚、执法程序合法、法律适用准确、自由裁量结论合理。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000000" w:themeColor="text1"/>
          <w:kern w:val="0"/>
          <w:sz w:val="32"/>
          <w:szCs w:val="32"/>
          <w:lang w:eastAsia="zh-CN"/>
          <w14:textFill>
            <w14:solidFill>
              <w14:schemeClr w14:val="tx1"/>
            </w14:solidFill>
          </w14:textFill>
        </w:rPr>
        <w:t>《天津市机动车和非道路移动机械排放污染物防治条例》第五十条</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49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 xml:space="preserve"> 责令你单位</w:t>
      </w:r>
      <w:r>
        <w:rPr>
          <w:rFonts w:hint="eastAsia" w:eastAsia="仿宋_GB2312"/>
          <w:color w:val="000000" w:themeColor="text1"/>
          <w:sz w:val="32"/>
          <w:szCs w:val="32"/>
          <w:lang w:eastAsia="zh-CN"/>
          <w14:textFill>
            <w14:solidFill>
              <w14:schemeClr w14:val="tx1"/>
            </w14:solidFill>
          </w14:textFill>
        </w:rPr>
        <w:t>立即停止使用该非道路移动机械</w:t>
      </w:r>
      <w:r>
        <w:rPr>
          <w:rFonts w:hint="eastAsia"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eastAsia="仿宋_GB2312"/>
          <w:color w:val="000000" w:themeColor="text1"/>
          <w:kern w:val="0"/>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对你单位</w:t>
      </w:r>
      <w:r>
        <w:rPr>
          <w:rFonts w:eastAsia="仿宋_GB2312"/>
          <w:color w:val="000000" w:themeColor="text1"/>
          <w:sz w:val="32"/>
          <w:szCs w:val="32"/>
          <w14:textFill>
            <w14:solidFill>
              <w14:schemeClr w14:val="tx1"/>
            </w14:solidFill>
          </w14:textFill>
        </w:rPr>
        <w:t>处罚款</w:t>
      </w:r>
      <w:r>
        <w:rPr>
          <w:rFonts w:hint="eastAsia" w:eastAsia="仿宋_GB2312"/>
          <w:color w:val="000000" w:themeColor="text1"/>
          <w:kern w:val="0"/>
          <w:sz w:val="32"/>
          <w:szCs w:val="32"/>
          <w:lang w:eastAsia="zh-CN"/>
          <w14:textFill>
            <w14:solidFill>
              <w14:schemeClr w14:val="tx1"/>
            </w14:solidFill>
          </w14:textFill>
        </w:rPr>
        <w:t>五万元</w:t>
      </w:r>
      <w:r>
        <w:rPr>
          <w:rFonts w:hint="eastAsia"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eastAsia="黑体"/>
          <w:kern w:val="0"/>
          <w:sz w:val="32"/>
          <w:szCs w:val="32"/>
        </w:rPr>
      </w:pPr>
      <w:r>
        <w:rPr>
          <w:rFonts w:eastAsia="黑体"/>
          <w:kern w:val="0"/>
          <w:sz w:val="32"/>
          <w:szCs w:val="32"/>
        </w:rPr>
        <w:t>三、</w:t>
      </w:r>
      <w:r>
        <w:rPr>
          <w:rFonts w:hint="eastAsia" w:eastAsia="黑体"/>
          <w:kern w:val="0"/>
          <w:sz w:val="32"/>
          <w:szCs w:val="32"/>
        </w:rPr>
        <w:t>责令改正和</w:t>
      </w:r>
      <w:r>
        <w:rPr>
          <w:rFonts w:eastAsia="黑体"/>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eastAsia="黑体"/>
          <w:color w:val="auto"/>
          <w:kern w:val="0"/>
          <w:sz w:val="32"/>
          <w:szCs w:val="32"/>
        </w:rPr>
      </w:pPr>
      <w:r>
        <w:rPr>
          <w:rFonts w:ascii="楷体" w:hAnsi="楷体" w:eastAsia="楷体"/>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你单位应在禁止使用高排放非道路移动机械区域禁止使用高排放非道路移动机械。</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ascii="楷体" w:hAnsi="楷体" w:eastAsia="楷体"/>
          <w:kern w:val="0"/>
          <w:sz w:val="32"/>
          <w:szCs w:val="32"/>
        </w:rPr>
      </w:pPr>
      <w:r>
        <w:rPr>
          <w:rFonts w:ascii="楷体" w:hAnsi="楷体" w:eastAsia="楷体"/>
          <w:kern w:val="0"/>
          <w:sz w:val="32"/>
          <w:szCs w:val="32"/>
        </w:rPr>
        <w:t>（二）关于</w:t>
      </w:r>
      <w:r>
        <w:rPr>
          <w:rFonts w:hint="eastAsia" w:ascii="楷体" w:hAnsi="楷体" w:eastAsia="楷体"/>
          <w:kern w:val="0"/>
          <w:sz w:val="32"/>
          <w:szCs w:val="32"/>
          <w:lang w:eastAsia="zh-CN"/>
        </w:rPr>
        <w:t>处罚决定</w:t>
      </w:r>
      <w:r>
        <w:rPr>
          <w:rFonts w:ascii="楷体" w:hAnsi="楷体" w:eastAsia="楷体"/>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Fonts w:eastAsia="仿宋_GB2312"/>
          <w:color w:val="auto"/>
          <w:kern w:val="0"/>
          <w:sz w:val="32"/>
          <w:szCs w:val="32"/>
        </w:rPr>
      </w:pPr>
      <w:r>
        <w:rPr>
          <w:rFonts w:hint="eastAsia" w:eastAsia="仿宋_GB2312"/>
          <w:kern w:val="0"/>
          <w:sz w:val="32"/>
          <w:szCs w:val="32"/>
        </w:rPr>
        <w:t>依据</w:t>
      </w:r>
      <w:r>
        <w:rPr>
          <w:rFonts w:eastAsia="仿宋_GB2312"/>
          <w:kern w:val="0"/>
          <w:sz w:val="32"/>
          <w:szCs w:val="32"/>
        </w:rPr>
        <w:t>《中华人民共和国行政处罚法》和《罚款决定与罚款收缴分离实施办法》的</w:t>
      </w:r>
      <w:r>
        <w:rPr>
          <w:rFonts w:hint="eastAsia" w:eastAsia="仿宋_GB2312"/>
          <w:kern w:val="0"/>
          <w:sz w:val="32"/>
          <w:szCs w:val="32"/>
          <w:lang w:val="en-US" w:eastAsia="zh-CN"/>
        </w:rPr>
        <w:t>相关</w:t>
      </w:r>
      <w:r>
        <w:rPr>
          <w:rFonts w:eastAsia="仿宋_GB2312"/>
          <w:kern w:val="0"/>
          <w:sz w:val="32"/>
          <w:szCs w:val="32"/>
        </w:rPr>
        <w:t>规定，你单位接到本处罚决定书之日起十五日内</w:t>
      </w:r>
      <w:r>
        <w:rPr>
          <w:rFonts w:hint="eastAsia" w:eastAsia="仿宋_GB2312"/>
          <w:kern w:val="0"/>
          <w:sz w:val="32"/>
          <w:szCs w:val="32"/>
          <w:lang w:val="en-US" w:eastAsia="zh-CN"/>
        </w:rPr>
        <w:t>应</w:t>
      </w:r>
      <w:r>
        <w:rPr>
          <w:rFonts w:eastAsia="仿宋_GB2312"/>
          <w:kern w:val="0"/>
          <w:sz w:val="32"/>
          <w:szCs w:val="32"/>
        </w:rPr>
        <w:t>领取《非税收入统一缴款书</w:t>
      </w:r>
      <w:r>
        <w:rPr>
          <w:rFonts w:hint="eastAsia" w:eastAsia="仿宋_GB2312"/>
          <w:kern w:val="0"/>
          <w:sz w:val="32"/>
          <w:szCs w:val="32"/>
        </w:rPr>
        <w:t>（缴款通知书）</w:t>
      </w:r>
      <w:r>
        <w:rPr>
          <w:rFonts w:eastAsia="仿宋_GB2312"/>
          <w:kern w:val="0"/>
          <w:sz w:val="32"/>
          <w:szCs w:val="32"/>
        </w:rPr>
        <w:t>》并缴至指定银行。你单位逾期不缴纳罚款的，我局</w:t>
      </w:r>
      <w:r>
        <w:rPr>
          <w:rFonts w:hint="eastAsia" w:eastAsia="仿宋_GB2312"/>
          <w:kern w:val="0"/>
          <w:sz w:val="32"/>
          <w:szCs w:val="32"/>
          <w:lang w:val="en-US" w:eastAsia="zh-CN"/>
        </w:rPr>
        <w:t>可以</w:t>
      </w:r>
      <w:r>
        <w:rPr>
          <w:rFonts w:eastAsia="仿宋_GB2312"/>
          <w:kern w:val="0"/>
          <w:sz w:val="32"/>
          <w:szCs w:val="32"/>
        </w:rPr>
        <w:t>依法每日按罚款数额的3%加处罚款。</w:t>
      </w:r>
      <w:r>
        <w:rPr>
          <w:rFonts w:eastAsia="仿宋_GB2312"/>
          <w:color w:val="auto"/>
          <w:kern w:val="0"/>
          <w:sz w:val="32"/>
          <w:szCs w:val="32"/>
        </w:rPr>
        <w:t xml:space="preserve">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490" w:lineRule="exact"/>
        <w:ind w:firstLine="640" w:firstLineChars="200"/>
        <w:jc w:val="left"/>
        <w:textAlignment w:val="auto"/>
        <w:rPr>
          <w:rStyle w:val="14"/>
          <w:rFonts w:hint="eastAsia" w:eastAsia="仿宋_GB2312"/>
          <w:color w:val="auto"/>
          <w:kern w:val="0"/>
          <w:sz w:val="32"/>
          <w:szCs w:val="32"/>
          <w:u w:val="none"/>
          <w:lang w:val="en-US" w:eastAsia="zh-CN"/>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pPr>
        <w:keepNext w:val="0"/>
        <w:keepLines w:val="0"/>
        <w:pageBreakBefore w:val="0"/>
        <w:widowControl w:val="0"/>
        <w:kinsoku/>
        <w:wordWrap/>
        <w:overflowPunct/>
        <w:topLinePunct w:val="0"/>
        <w:autoSpaceDE w:val="0"/>
        <w:autoSpaceDN w:val="0"/>
        <w:bidi w:val="0"/>
        <w:adjustRightInd w:val="0"/>
        <w:snapToGrid w:val="0"/>
        <w:spacing w:line="49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49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4"/>
      <w:r>
        <w:rPr>
          <w:rFonts w:hint="eastAsia" w:eastAsia="仿宋_GB2312"/>
          <w:color w:val="auto"/>
          <w:kern w:val="0"/>
          <w:sz w:val="32"/>
          <w:szCs w:val="32"/>
          <w:lang w:val="en-US" w:eastAsia="zh-CN"/>
        </w:rPr>
        <w:t>21</w:t>
      </w:r>
      <w:r>
        <w:rPr>
          <w:rFonts w:eastAsia="仿宋_GB2312"/>
          <w:color w:val="auto"/>
          <w:kern w:val="0"/>
          <w:sz w:val="32"/>
          <w:szCs w:val="32"/>
        </w:rPr>
        <w:t>日</w:t>
      </w:r>
    </w:p>
    <w:p>
      <w:pPr>
        <w:adjustRightInd w:val="0"/>
        <w:snapToGrid w:val="0"/>
        <w:spacing w:line="360" w:lineRule="auto"/>
        <w:jc w:val="both"/>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sz w:val="24"/>
        <w:szCs w:val="24"/>
      </w:rPr>
      <w:t>4</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7E3C0413"/>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012D"/>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2F9411E"/>
    <w:rsid w:val="0BC97030"/>
    <w:rsid w:val="0DE05630"/>
    <w:rsid w:val="1332339F"/>
    <w:rsid w:val="16FD0578"/>
    <w:rsid w:val="1818698E"/>
    <w:rsid w:val="1BAF0A67"/>
    <w:rsid w:val="1C2C4C0F"/>
    <w:rsid w:val="23D96EAA"/>
    <w:rsid w:val="23F600AF"/>
    <w:rsid w:val="24F15196"/>
    <w:rsid w:val="2A1A666F"/>
    <w:rsid w:val="2B946F65"/>
    <w:rsid w:val="2D3F62BA"/>
    <w:rsid w:val="2D8321C2"/>
    <w:rsid w:val="2EE92518"/>
    <w:rsid w:val="30251CCA"/>
    <w:rsid w:val="3214796D"/>
    <w:rsid w:val="37D1755F"/>
    <w:rsid w:val="38EE6D9D"/>
    <w:rsid w:val="3E4B53BF"/>
    <w:rsid w:val="450F61CB"/>
    <w:rsid w:val="4A3E05CE"/>
    <w:rsid w:val="4A437691"/>
    <w:rsid w:val="4BD91CDD"/>
    <w:rsid w:val="4EDD0158"/>
    <w:rsid w:val="4F731BF1"/>
    <w:rsid w:val="502F15FB"/>
    <w:rsid w:val="503F23C3"/>
    <w:rsid w:val="51935037"/>
    <w:rsid w:val="553A03CB"/>
    <w:rsid w:val="57BE1F1E"/>
    <w:rsid w:val="58763D60"/>
    <w:rsid w:val="5A8A419C"/>
    <w:rsid w:val="5BDF2ED1"/>
    <w:rsid w:val="5F7C4535"/>
    <w:rsid w:val="624F5E3E"/>
    <w:rsid w:val="6404560A"/>
    <w:rsid w:val="64F75746"/>
    <w:rsid w:val="66B216B2"/>
    <w:rsid w:val="679D04BA"/>
    <w:rsid w:val="6851522E"/>
    <w:rsid w:val="6AA701F3"/>
    <w:rsid w:val="6C5A27B0"/>
    <w:rsid w:val="6E583F4A"/>
    <w:rsid w:val="72330BA4"/>
    <w:rsid w:val="73744CD2"/>
    <w:rsid w:val="742B7C3A"/>
    <w:rsid w:val="7690421B"/>
    <w:rsid w:val="7C317407"/>
    <w:rsid w:val="7CB4442B"/>
    <w:rsid w:val="7E3C04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5"/>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批注框文本 字符"/>
    <w:link w:val="7"/>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024&#24180;&#25991;&#20070;&#27169;&#29256;-24&#24180;5&#26376;14&#26085;&#26356;&#26032;\2024&#24180;&#25991;&#20070;&#27169;&#29256;-24&#24180;4&#26376;&#26356;&#26032;\22-1.&#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22-1.行政处罚决定书（申辩）.dot</Template>
  <Pages>3</Pages>
  <Words>1779</Words>
  <Characters>1976</Characters>
  <Lines>8</Lines>
  <Paragraphs>2</Paragraphs>
  <TotalTime>2</TotalTime>
  <ScaleCrop>false</ScaleCrop>
  <LinksUpToDate>false</LinksUpToDate>
  <CharactersWithSpaces>2068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2024-05-22T08:15:00Z</dcterms:created>
  <dc:creator>何敏</dc:creator>
  <cp:lastModifiedBy>何敏</cp:lastModifiedBy>
  <cp:lastPrinted>2024-06-24T00:11:00Z</cp:lastPrinted>
  <dcterms:modified xsi:type="dcterms:W3CDTF">2024-06-24T08:01:47Z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34E3A6E033864433A0F0AF6A73A7EB28_13</vt:lpwstr>
  </property>
</Properties>
</file>