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天津市安通机动车检测有限公司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统一社会信用代码：91120224MA06JHNY70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天津市宝坻区宝平街道南三路西段增1号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sz w:val="32"/>
          <w:szCs w:val="32"/>
        </w:rPr>
        <w:t>郑树贵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。你单位主要从事机动车检测检验业务，</w:t>
      </w:r>
      <w:r>
        <w:rPr>
          <w:rFonts w:hint="eastAsia" w:ascii="仿宋_GB2312" w:eastAsia="仿宋_GB2312"/>
          <w:color w:val="auto"/>
          <w:sz w:val="32"/>
          <w:szCs w:val="32"/>
        </w:rPr>
        <w:t>共有3条在用机动车尾气检测线，其中2条汽油车检测线（编号为1号，2号），1条汽柴混检测线（编号为3号）。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现场检查时，你单位正在营业。你</w:t>
      </w:r>
      <w:r>
        <w:rPr>
          <w:rFonts w:hint="eastAsia" w:ascii="仿宋_GB2312" w:eastAsia="仿宋_GB2312"/>
          <w:color w:val="auto"/>
          <w:sz w:val="32"/>
          <w:szCs w:val="32"/>
        </w:rPr>
        <w:t>单位2号尾气检测线尾气分析仪电脑上连接有非出厂部件1个，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</w:rPr>
        <w:t>配套有遥控器1个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。经2024年4月9日和2024年4月28日两次比对实验证明，你单位使用上述</w:t>
      </w:r>
      <w:r>
        <w:rPr>
          <w:rFonts w:hint="eastAsia" w:ascii="仿宋_GB2312" w:eastAsia="仿宋_GB2312"/>
          <w:color w:val="auto"/>
          <w:sz w:val="32"/>
          <w:szCs w:val="32"/>
        </w:rPr>
        <w:t>非出厂部件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在遥控器的控制下对机动车尾气排放检测数值产生干扰，具有篡改正常检验报告数值的功能，可认定为作弊器。经进一步调查，认定你单位通过使用上述作弊器干扰机动车尾气排放检测数值，为车牌号为</w:t>
      </w:r>
      <w:r>
        <w:rPr>
          <w:rFonts w:hint="eastAsia" w:eastAsia="仿宋_GB2312"/>
          <w:color w:val="auto"/>
          <w:sz w:val="32"/>
          <w:szCs w:val="32"/>
        </w:rPr>
        <w:t>津C990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**、</w:t>
      </w:r>
      <w:r>
        <w:rPr>
          <w:rFonts w:hint="eastAsia" w:eastAsia="仿宋_GB2312"/>
          <w:color w:val="auto"/>
          <w:sz w:val="32"/>
          <w:szCs w:val="32"/>
        </w:rPr>
        <w:t>津C82U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**、</w:t>
      </w:r>
      <w:r>
        <w:rPr>
          <w:rFonts w:hint="eastAsia" w:eastAsia="仿宋_GB2312"/>
          <w:color w:val="auto"/>
          <w:sz w:val="32"/>
          <w:szCs w:val="32"/>
        </w:rPr>
        <w:t>津MN56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**、津</w:t>
      </w:r>
      <w:r>
        <w:rPr>
          <w:rFonts w:hint="eastAsia" w:eastAsia="仿宋_GB2312"/>
          <w:color w:val="auto"/>
          <w:sz w:val="32"/>
          <w:szCs w:val="32"/>
        </w:rPr>
        <w:t>D501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**</w:t>
      </w:r>
      <w:bookmarkStart w:id="5" w:name="_GoBack"/>
      <w:bookmarkEnd w:id="5"/>
      <w:r>
        <w:rPr>
          <w:rFonts w:hint="eastAsia" w:eastAsia="仿宋_GB2312"/>
          <w:color w:val="auto"/>
          <w:sz w:val="32"/>
          <w:szCs w:val="32"/>
          <w:lang w:eastAsia="zh-CN"/>
        </w:rPr>
        <w:t>的四辆车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出具了结果为“通过”的《在用车排放检验报告》</w:t>
      </w:r>
      <w:r>
        <w:rPr>
          <w:rFonts w:hint="eastAsia" w:eastAsia="仿宋_GB2312"/>
          <w:color w:val="auto"/>
          <w:sz w:val="32"/>
          <w:szCs w:val="32"/>
        </w:rPr>
        <w:t>（报告编号</w:t>
      </w:r>
      <w:r>
        <w:rPr>
          <w:rFonts w:hint="eastAsia" w:eastAsia="仿宋_GB2312"/>
          <w:color w:val="auto"/>
          <w:sz w:val="32"/>
          <w:szCs w:val="32"/>
          <w:lang w:eastAsia="zh-CN"/>
        </w:rPr>
        <w:t>分别为</w:t>
      </w:r>
      <w:r>
        <w:rPr>
          <w:rFonts w:hint="eastAsia" w:eastAsia="仿宋_GB2312"/>
          <w:color w:val="auto"/>
          <w:sz w:val="32"/>
          <w:szCs w:val="32"/>
        </w:rPr>
        <w:t>：120115582404090900310212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120115582404090940090288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120115582404091024440232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120115582404091028240237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），共计取得违法所得四百元。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两次比对实验出具的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《在用车排放检验报告》及视频、你单位使用作弊器出具的4份《在用车排放检验报告》及检测收费凭证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《中华人民共和国大气污染防治法》第五十四条第一款的规定，属于出具虚假排放检验报告的环境违法行为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你单位逾期未申请听证，但于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日向我局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企业对此次检查指出问题高度重视，对相关车辆召回进行复测，召开整顿培训会议，进一步规范尾气检测管理。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因政策变动及检测站市场恶性竞争，导致企业营业量减少，经营存在困难，申请从轻处罚。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号）及其送达回证、你单位提出的陈述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法制审核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采纳你单位提出的积极整改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消除、减轻危害后果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的陈述、申辩意见，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《中华人民共和国大气污染防治法》第一百一十二条第一款的规定</w:t>
      </w:r>
      <w:r>
        <w:rPr>
          <w:rFonts w:hint="eastAsia" w:eastAsia="仿宋_GB2312"/>
          <w:color w:val="auto"/>
          <w:kern w:val="0"/>
          <w:sz w:val="32"/>
          <w:szCs w:val="32"/>
        </w:rPr>
        <w:t>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1.对</w:t>
      </w:r>
      <w:r>
        <w:rPr>
          <w:rFonts w:hint="default" w:eastAsia="仿宋_GB2312"/>
          <w:color w:val="auto"/>
          <w:kern w:val="0"/>
          <w:sz w:val="32"/>
          <w:szCs w:val="32"/>
        </w:rPr>
        <w:t>你单位没</w:t>
      </w:r>
      <w:r>
        <w:rPr>
          <w:rFonts w:hint="eastAsia" w:eastAsia="仿宋_GB2312"/>
          <w:color w:val="auto"/>
          <w:kern w:val="0"/>
          <w:sz w:val="32"/>
          <w:szCs w:val="32"/>
        </w:rPr>
        <w:t>收</w:t>
      </w:r>
      <w:r>
        <w:rPr>
          <w:rFonts w:hint="default" w:eastAsia="仿宋_GB2312"/>
          <w:color w:val="auto"/>
          <w:kern w:val="0"/>
          <w:sz w:val="32"/>
          <w:szCs w:val="32"/>
        </w:rPr>
        <w:t>违法</w:t>
      </w:r>
      <w:r>
        <w:rPr>
          <w:rFonts w:hint="eastAsia" w:eastAsia="仿宋_GB2312"/>
          <w:color w:val="auto"/>
          <w:kern w:val="0"/>
          <w:sz w:val="32"/>
          <w:szCs w:val="32"/>
        </w:rPr>
        <w:t>所</w:t>
      </w:r>
      <w:r>
        <w:rPr>
          <w:rFonts w:hint="default" w:eastAsia="仿宋_GB2312"/>
          <w:color w:val="auto"/>
          <w:kern w:val="0"/>
          <w:sz w:val="32"/>
          <w:szCs w:val="32"/>
        </w:rPr>
        <w:t>得四</w:t>
      </w:r>
      <w:r>
        <w:rPr>
          <w:rFonts w:hint="eastAsia" w:eastAsia="仿宋_GB2312"/>
          <w:color w:val="auto"/>
          <w:kern w:val="0"/>
          <w:sz w:val="32"/>
          <w:szCs w:val="32"/>
        </w:rPr>
        <w:t>百元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三十二万元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yellow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B794877"/>
    <w:rsid w:val="00010AA6"/>
    <w:rsid w:val="000204AC"/>
    <w:rsid w:val="00043334"/>
    <w:rsid w:val="000657F1"/>
    <w:rsid w:val="0009025B"/>
    <w:rsid w:val="00095A17"/>
    <w:rsid w:val="000D1743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839ED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238DE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C13F9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D606DC"/>
    <w:rsid w:val="04783F2E"/>
    <w:rsid w:val="08A13C26"/>
    <w:rsid w:val="09E71245"/>
    <w:rsid w:val="0CBE5334"/>
    <w:rsid w:val="0D6F2242"/>
    <w:rsid w:val="0F036B2A"/>
    <w:rsid w:val="145743E8"/>
    <w:rsid w:val="1A2B6E25"/>
    <w:rsid w:val="1F5C6823"/>
    <w:rsid w:val="27DA38C8"/>
    <w:rsid w:val="29186FAE"/>
    <w:rsid w:val="2B794877"/>
    <w:rsid w:val="32C9083F"/>
    <w:rsid w:val="32D14370"/>
    <w:rsid w:val="35603431"/>
    <w:rsid w:val="3BBB7DC4"/>
    <w:rsid w:val="411E3ACD"/>
    <w:rsid w:val="48BF735A"/>
    <w:rsid w:val="4B03318A"/>
    <w:rsid w:val="4C571AFE"/>
    <w:rsid w:val="4C5C5538"/>
    <w:rsid w:val="4D047387"/>
    <w:rsid w:val="4E055CD0"/>
    <w:rsid w:val="51935037"/>
    <w:rsid w:val="52CD09F5"/>
    <w:rsid w:val="54DA31DF"/>
    <w:rsid w:val="554A734B"/>
    <w:rsid w:val="55580F4E"/>
    <w:rsid w:val="5A8A48AB"/>
    <w:rsid w:val="5BBA2264"/>
    <w:rsid w:val="5EAF276A"/>
    <w:rsid w:val="60AF0ED6"/>
    <w:rsid w:val="61EF3D39"/>
    <w:rsid w:val="650419E6"/>
    <w:rsid w:val="67460A54"/>
    <w:rsid w:val="70D019A4"/>
    <w:rsid w:val="76307655"/>
    <w:rsid w:val="77305266"/>
    <w:rsid w:val="78A37367"/>
    <w:rsid w:val="79201516"/>
    <w:rsid w:val="79F3642F"/>
    <w:rsid w:val="7B2A1568"/>
    <w:rsid w:val="7D965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2.&#34892;&#25919;&#22788;&#32602;&#20915;&#23450;&#20070;&#65288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22-2.行政处罚决定书（申辩未听证）.dot</Template>
  <Pages>4</Pages>
  <Words>1550</Words>
  <Characters>1759</Characters>
  <Lines>8</Lines>
  <Paragraphs>2</Paragraphs>
  <TotalTime>20</TotalTime>
  <ScaleCrop>false</ScaleCrop>
  <LinksUpToDate>false</LinksUpToDate>
  <CharactersWithSpaces>1887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2024-06-13T06:24:00Z</dcterms:created>
  <dc:creator>何敏</dc:creator>
  <cp:lastModifiedBy>何敏</cp:lastModifiedBy>
  <cp:lastPrinted>2024-06-24T00:13:00Z</cp:lastPrinted>
  <dcterms:modified xsi:type="dcterms:W3CDTF">2024-06-24T07:58:09Z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A682671931B84C4695147317A724EED0_13</vt:lpwstr>
  </property>
</Properties>
</file>