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天津市津抚水泥管材有限公司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91120113789390885W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北辰区大张庄镇南王平村南津围公路东侧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王金伟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《天津市津抚水泥管材有限公司年产1250公里水泥管材项目建设项目环境影响报告表》，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单位对沙石料、水泥等易产生扬尘的建筑材料应进行苫盖。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现场检查时你单位露天堆放200m</w:t>
      </w:r>
      <w:r>
        <w:rPr>
          <w:rFonts w:hint="eastAsia" w:eastAsia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沙子、150m</w:t>
      </w:r>
      <w:r>
        <w:rPr>
          <w:rFonts w:hint="eastAsia" w:eastAsia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刷罐灰，属于对易产生扬尘的物料，未采取有效覆盖措施防治扬尘污染。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《天津市生态环境局现场检查（勘察）笔录》《天津市生态环境局调查询问笔录》《天津市津抚水泥管材有限公司年产1250公里水泥管材项目建设项目环境影响报告表》、现场拍摄的视频以及营业执照复印件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《中华人民共和国大气污染防治法》第七十二条第一款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现场检查当日我单位已立即进行整改，停止生产作业，对露天堆放的物料入库或苫盖，并对现场进行清扫（附照片）。申请从轻处罚。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部分采纳你单位陈述申辩意见，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考虑到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单位当日完成整改，同意依据《中华人民共和国行政处罚法》第三十二条第一项的规定，对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、责令改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《中华人民共和国大气污染防治法》第一百一十七条第二项的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你单位应对易产生扬尘的物料，采取有效覆盖措施防治扬尘污染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8" w:name="_GoBack"/>
      <w:bookmarkEnd w:id="8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F0242B4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23D96EAA"/>
    <w:rsid w:val="24F15196"/>
    <w:rsid w:val="2A1A666F"/>
    <w:rsid w:val="2B946F65"/>
    <w:rsid w:val="2D8321C2"/>
    <w:rsid w:val="2EE92518"/>
    <w:rsid w:val="3214796D"/>
    <w:rsid w:val="450F61CB"/>
    <w:rsid w:val="4A093A77"/>
    <w:rsid w:val="4A3E05CE"/>
    <w:rsid w:val="4A437691"/>
    <w:rsid w:val="4BD91CDD"/>
    <w:rsid w:val="4F731BF1"/>
    <w:rsid w:val="502F15FB"/>
    <w:rsid w:val="503F23C3"/>
    <w:rsid w:val="51935037"/>
    <w:rsid w:val="547F0D89"/>
    <w:rsid w:val="553A03CB"/>
    <w:rsid w:val="58763D60"/>
    <w:rsid w:val="5BDF2ED1"/>
    <w:rsid w:val="5F0242B4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B9D6B59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10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2024-01-23T01:58:00Z</dcterms:created>
  <dc:creator>唐大果果</dc:creator>
  <cp:lastModifiedBy>唐大果果</cp:lastModifiedBy>
  <cp:lastPrinted>2024-02-01T02:55:44Z</cp:lastPrinted>
  <dcterms:modified xsi:type="dcterms:W3CDTF">2024-02-01T03:08:57Z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3EA3121AE5424845A1CF232CE723B0B8_11</vt:lpwstr>
  </property>
</Properties>
</file>