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15</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天津市天驹建筑材料有限公司</w:t>
      </w:r>
      <w:r>
        <w:rPr>
          <w:rFonts w:ascii="Times New Roman" w:hAnsi="Times New Roman"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rPr>
        <w:t>9</w:t>
      </w:r>
      <w:r>
        <w:rPr>
          <w:rFonts w:hint="eastAsia" w:ascii="Times New Roman" w:hAnsi="Times New Roman" w:eastAsia="仿宋_GB2312"/>
          <w:color w:val="auto"/>
          <w:kern w:val="0"/>
          <w:sz w:val="32"/>
          <w:szCs w:val="32"/>
          <w:lang w:val="en-US" w:eastAsia="zh-CN"/>
        </w:rPr>
        <w:t>1120221MA05L1LA4L</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天津市宁河区北淮淀乡北淮淀村南5公里处</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法定代表人：郑庆生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我</w:t>
      </w:r>
      <w:r>
        <w:rPr>
          <w:rFonts w:hint="eastAsia" w:ascii="Times New Roman" w:hAnsi="Times New Roman" w:eastAsia="仿宋_GB2312"/>
          <w:color w:val="auto"/>
          <w:sz w:val="32"/>
          <w:szCs w:val="32"/>
          <w:lang w:val="en-US" w:eastAsia="zh-CN"/>
        </w:rPr>
        <w:t>局于2023年10月12日对你单位进行了检查。根据你单位《锅炉在线监测工程项目（设备）合同书》《运维合同》，你单位于2021年安装二氧化硫和氮氧化物在线自动监测设施，你单位为天津市2021年、2022年、2023年重点排污单位。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现场检查时，你单位焙烧工序正在生产，3号、4号焙烧炉正在运行，配套的水膜除尘脱硫塔未运行，脱硫水泵全部处于停运状态。经进一步调查，你单位于2021年安装二氧化硫和氮氧化物在线自动监测设施，截至检查当日未按照规定与生态环境主管部门的监控设备联网，在线自动监测数据未进行过上传，天津市重点污染源综合监控平台无相关数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以上事实，有</w:t>
      </w:r>
      <w:bookmarkStart w:id="3" w:name="PO_4_ShiShiZhengJu"/>
      <w:r>
        <w:rPr>
          <w:rFonts w:hint="eastAsia" w:ascii="Times New Roman" w:hAnsi="Times New Roman" w:eastAsia="仿宋_GB2312"/>
          <w:color w:val="auto"/>
          <w:sz w:val="32"/>
          <w:szCs w:val="32"/>
          <w:lang w:val="en-US" w:eastAsia="zh-CN"/>
        </w:rPr>
        <w:t>《天津市生态环境局现场检查（勘察）笔录》《天津市生态环境局调查询问笔录》、你单位提供的《天津市天驹建筑材料有限公司页岩砖生产制造提升改造项目建设项目环境影响报告表》《排污许可证副本》（证书编号：91120221MA05L1LA4L001Q）、《锅炉在线监测工程项目（设备）合同书》《运维合同》《市生态环境局关于〈天津市2023年重点单位自动监测系统建设工作方案〉的通知》《天津市2023年环境监管重点单位名录》、现场拍摄的视频以及营业执照复印件</w:t>
      </w:r>
      <w:bookmarkEnd w:id="3"/>
      <w:r>
        <w:rPr>
          <w:rFonts w:hint="eastAsia" w:ascii="Times New Roman" w:hAnsi="Times New Roman" w:eastAsia="仿宋_GB2312"/>
          <w:color w:val="auto"/>
          <w:sz w:val="32"/>
          <w:szCs w:val="32"/>
          <w:lang w:val="en-US" w:eastAsia="zh-CN"/>
        </w:rPr>
        <w:t>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《中华人民共和国大气污染防治法》第二十四条第一款的规定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未按照规定与生态环境主管部门的监控设备联网的环境违法行为，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7</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231</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12</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12月</w:t>
      </w:r>
      <w:r>
        <w:rPr>
          <w:rFonts w:hint="eastAsia" w:eastAsia="仿宋_GB2312"/>
          <w:color w:val="auto"/>
          <w:kern w:val="0"/>
          <w:sz w:val="32"/>
          <w:szCs w:val="32"/>
          <w:lang w:val="en-US" w:eastAsia="zh-CN"/>
        </w:rPr>
        <w:t>13</w:t>
      </w:r>
      <w:r>
        <w:rPr>
          <w:rFonts w:hint="eastAsia" w:ascii="Times New Roman" w:hAnsi="Times New Roman" w:eastAsia="仿宋_GB2312"/>
          <w:color w:val="auto"/>
          <w:kern w:val="0"/>
          <w:sz w:val="32"/>
          <w:szCs w:val="32"/>
          <w:lang w:val="en-US" w:eastAsia="zh-CN"/>
        </w:rPr>
        <w:t>日</w:t>
      </w:r>
      <w:r>
        <w:rPr>
          <w:rFonts w:hint="eastAsia" w:ascii="Times New Roman" w:hAnsi="Times New Roman" w:eastAsia="仿宋_GB2312"/>
          <w:color w:val="auto"/>
          <w:kern w:val="0"/>
          <w:sz w:val="32"/>
          <w:szCs w:val="32"/>
        </w:rPr>
        <w:t>你单位向我局提</w:t>
      </w:r>
      <w:r>
        <w:rPr>
          <w:rFonts w:hint="eastAsia" w:eastAsia="仿宋_GB2312"/>
          <w:color w:val="auto"/>
          <w:kern w:val="0"/>
          <w:sz w:val="32"/>
          <w:szCs w:val="32"/>
          <w:lang w:eastAsia="zh-CN"/>
        </w:rPr>
        <w:t>出</w:t>
      </w:r>
      <w:r>
        <w:rPr>
          <w:rFonts w:hint="eastAsia" w:ascii="Times New Roman" w:hAnsi="Times New Roman" w:eastAsia="仿宋_GB2312"/>
          <w:color w:val="auto"/>
          <w:kern w:val="0"/>
          <w:sz w:val="32"/>
          <w:szCs w:val="32"/>
        </w:rPr>
        <w:t>陈述申辩意见</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2023年5月17日，在宁河区生态环境局对我单位现场检查时发现，我单位在线自动监测设备建成联网后一直未按照国家和本市有关规定完成验收工作，已按照《天津市生态环境保护条例》对我单位进行了行政处罚，且我单位已将罚款上交。在此期间，我公司一直处于停产状态，并积极配合区生态环境局进行整改</w:t>
      </w:r>
      <w:r>
        <w:rPr>
          <w:rFonts w:hint="eastAsia" w:eastAsia="仿宋_GB2312"/>
          <w:color w:val="auto"/>
          <w:kern w:val="0"/>
          <w:sz w:val="32"/>
          <w:szCs w:val="32"/>
          <w:lang w:val="en-US"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2.10月12日，市执法总队对我公司进行检查时，我公司新升级改造完成的水膜除尘脱硫塔和在线自动监测设备刚刚建设完成，特聘请了三方环保管家对新水膜除尘脱硫塔和在线自动监测设备进行试验、调试，确保达标排放后与市、区等生态环境部门进行联网，但脱硫塔排放相关数据稳定性还达不到验收标准，因此，我公司在线自动监测设施才未与生态环境主管部门联网。</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为从根本上解决环境问题，我公司决定将废气排放口(DA001)进行升级改造，将原脱硫塔进行拆除，在此基础上投资建设一套新的水膜除尘脱硫塔，并购买新的污染源在线自动监测设备，自4月底至9月底期间，我公司并未进行生产作业，一直处于停产状态，因此，在此期间我公司一直未有数据上传。在发现我公司在线自动监测设施未能稳定达标排放后，我公司立即组织停产，继续联系设备厂家对脱硫塔进行调试维护。</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4.目前，面临市场低迷，疫情之后，原材料、用工成本上涨，我公司至今仍负债累累不堪重负，况且我公司仍处于停产状态，新升级改造的脱硫塔仍未调试完成，此事件并不是我公司主观故意造成的，确实是我公司在脱硫塔调试阶段客观导致的。鉴于上述情况，我公司已在同一年度受到过相同的行政处罚，现恳请贵局撤销对我公司的行政处罚决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以上事实，有《天津市生态环境局行政处罚</w:t>
      </w:r>
      <w:r>
        <w:rPr>
          <w:rFonts w:hint="eastAsia" w:ascii="Times New Roman" w:hAnsi="Times New Roman" w:eastAsia="仿宋_GB2312"/>
          <w:color w:val="auto"/>
          <w:kern w:val="0"/>
          <w:sz w:val="32"/>
          <w:szCs w:val="32"/>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231</w:t>
      </w:r>
      <w:r>
        <w:rPr>
          <w:rFonts w:ascii="Times New Roman" w:hAnsi="Times New Roman" w:eastAsia="仿宋_GB2312"/>
          <w:color w:val="auto"/>
          <w:kern w:val="0"/>
          <w:sz w:val="32"/>
          <w:szCs w:val="32"/>
        </w:rPr>
        <w:t>号）</w:t>
      </w:r>
      <w:r>
        <w:rPr>
          <w:rFonts w:hint="eastAsia" w:ascii="Times New Roman" w:hAnsi="Times New Roman" w:eastAsia="仿宋_GB2312"/>
          <w:color w:val="auto"/>
          <w:kern w:val="0"/>
          <w:sz w:val="32"/>
          <w:szCs w:val="32"/>
        </w:rPr>
        <w:t>及</w:t>
      </w:r>
      <w:r>
        <w:rPr>
          <w:rFonts w:hint="eastAsia" w:ascii="Times New Roman" w:hAnsi="Times New Roman" w:eastAsia="仿宋_GB2312"/>
          <w:color w:val="auto"/>
          <w:kern w:val="0"/>
          <w:sz w:val="32"/>
          <w:szCs w:val="32"/>
          <w:lang w:eastAsia="zh-CN"/>
        </w:rPr>
        <w:t>其</w:t>
      </w:r>
      <w:r>
        <w:rPr>
          <w:rFonts w:hint="eastAsia" w:ascii="Times New Roman" w:hAnsi="Times New Roman" w:eastAsia="仿宋_GB2312"/>
          <w:color w:val="auto"/>
          <w:kern w:val="0"/>
          <w:sz w:val="32"/>
          <w:szCs w:val="32"/>
        </w:rPr>
        <w:t>送达回证、</w:t>
      </w:r>
      <w:r>
        <w:rPr>
          <w:rFonts w:hint="eastAsia" w:ascii="Times New Roman" w:hAnsi="Times New Roman" w:eastAsia="仿宋_GB2312"/>
          <w:color w:val="auto"/>
          <w:kern w:val="0"/>
          <w:sz w:val="32"/>
          <w:szCs w:val="32"/>
          <w:lang w:val="en-US" w:eastAsia="zh-CN"/>
        </w:rPr>
        <w:t>你单位提出的</w:t>
      </w:r>
      <w:r>
        <w:rPr>
          <w:rFonts w:hint="eastAsia" w:ascii="Times New Roman" w:hAnsi="Times New Roman" w:eastAsia="仿宋_GB2312"/>
          <w:color w:val="auto"/>
          <w:kern w:val="0"/>
          <w:sz w:val="32"/>
          <w:szCs w:val="32"/>
        </w:rPr>
        <w:t>陈述申辩材料</w:t>
      </w:r>
      <w:r>
        <w:rPr>
          <w:rFonts w:ascii="Times New Roman" w:hAnsi="Times New Roman"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经集体审议研究，你单位提出的陈述申辩意见不影响对本案违法事实的认定，</w:t>
      </w:r>
      <w:r>
        <w:rPr>
          <w:rFonts w:hint="eastAsia" w:eastAsia="仿宋_GB2312"/>
          <w:color w:val="auto"/>
          <w:kern w:val="0"/>
          <w:sz w:val="32"/>
          <w:szCs w:val="32"/>
          <w:lang w:val="en-US" w:eastAsia="zh-CN"/>
        </w:rPr>
        <w:t>不</w:t>
      </w:r>
      <w:r>
        <w:rPr>
          <w:rFonts w:hint="eastAsia" w:ascii="Times New Roman" w:hAnsi="Times New Roman" w:eastAsia="仿宋_GB2312"/>
          <w:color w:val="auto"/>
          <w:kern w:val="0"/>
          <w:sz w:val="32"/>
          <w:szCs w:val="32"/>
          <w:lang w:val="en-US" w:eastAsia="zh-CN"/>
        </w:rPr>
        <w:t>采纳你单位陈述申辩意见，</w:t>
      </w:r>
      <w:r>
        <w:rPr>
          <w:rFonts w:hint="eastAsia" w:eastAsia="仿宋_GB2312"/>
          <w:color w:val="auto"/>
          <w:kern w:val="0"/>
          <w:sz w:val="32"/>
          <w:szCs w:val="32"/>
          <w:lang w:val="en-US" w:eastAsia="zh-CN"/>
        </w:rPr>
        <w:t>理由如下：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eastAsia="仿宋_GB2312"/>
          <w:color w:val="auto"/>
          <w:kern w:val="0"/>
          <w:sz w:val="32"/>
          <w:szCs w:val="32"/>
          <w:lang w:val="en-US" w:eastAsia="zh-CN"/>
        </w:rPr>
        <w:t>1.天津市宁河区生态环境局于</w:t>
      </w:r>
      <w:r>
        <w:rPr>
          <w:rFonts w:hint="eastAsia" w:ascii="Times New Roman" w:hAnsi="Times New Roman" w:eastAsia="仿宋_GB2312"/>
          <w:color w:val="auto"/>
          <w:kern w:val="0"/>
          <w:sz w:val="32"/>
          <w:szCs w:val="32"/>
          <w:lang w:val="en-US" w:eastAsia="zh-CN"/>
        </w:rPr>
        <w:t>2023年5月17日向</w:t>
      </w:r>
      <w:r>
        <w:rPr>
          <w:rFonts w:hint="eastAsia" w:eastAsia="仿宋_GB2312"/>
          <w:color w:val="auto"/>
          <w:kern w:val="0"/>
          <w:sz w:val="32"/>
          <w:szCs w:val="32"/>
          <w:lang w:val="en-US" w:eastAsia="zh-CN"/>
        </w:rPr>
        <w:t>你</w:t>
      </w:r>
      <w:r>
        <w:rPr>
          <w:rFonts w:hint="eastAsia" w:ascii="Times New Roman" w:hAnsi="Times New Roman" w:eastAsia="仿宋_GB2312"/>
          <w:color w:val="auto"/>
          <w:kern w:val="0"/>
          <w:sz w:val="32"/>
          <w:szCs w:val="32"/>
          <w:lang w:val="en-US" w:eastAsia="zh-CN"/>
        </w:rPr>
        <w:t>单位</w:t>
      </w:r>
      <w:r>
        <w:rPr>
          <w:rFonts w:hint="eastAsia" w:eastAsia="仿宋_GB2312"/>
          <w:color w:val="auto"/>
          <w:kern w:val="0"/>
          <w:sz w:val="32"/>
          <w:szCs w:val="32"/>
          <w:lang w:val="en-US" w:eastAsia="zh-CN"/>
        </w:rPr>
        <w:t>作出</w:t>
      </w:r>
      <w:r>
        <w:rPr>
          <w:rFonts w:hint="eastAsia" w:ascii="Times New Roman" w:hAnsi="Times New Roman" w:eastAsia="仿宋_GB2312"/>
          <w:color w:val="auto"/>
          <w:kern w:val="0"/>
          <w:sz w:val="32"/>
          <w:szCs w:val="32"/>
          <w:lang w:val="en-US" w:eastAsia="zh-CN"/>
        </w:rPr>
        <w:t>《天津市宁河区生态环境局责令改正违法行为决定书》〔2023〕Z05173号，责令</w:t>
      </w:r>
      <w:r>
        <w:rPr>
          <w:rFonts w:hint="eastAsia" w:eastAsia="仿宋_GB2312"/>
          <w:color w:val="auto"/>
          <w:kern w:val="0"/>
          <w:sz w:val="32"/>
          <w:szCs w:val="32"/>
          <w:lang w:val="en-US" w:eastAsia="zh-CN"/>
        </w:rPr>
        <w:t>你</w:t>
      </w:r>
      <w:r>
        <w:rPr>
          <w:rFonts w:hint="eastAsia" w:ascii="Times New Roman" w:hAnsi="Times New Roman" w:eastAsia="仿宋_GB2312"/>
          <w:color w:val="auto"/>
          <w:kern w:val="0"/>
          <w:sz w:val="32"/>
          <w:szCs w:val="32"/>
          <w:lang w:val="en-US" w:eastAsia="zh-CN"/>
        </w:rPr>
        <w:t>单位立即改正“污染源自动监测设备于2021年10月建成联网后，至2023年5月16日一直未组织验收”的环境违法行为</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2023年7月28日，</w:t>
      </w:r>
      <w:r>
        <w:rPr>
          <w:rFonts w:hint="eastAsia" w:eastAsia="仿宋_GB2312"/>
          <w:color w:val="auto"/>
          <w:kern w:val="0"/>
          <w:sz w:val="32"/>
          <w:szCs w:val="32"/>
          <w:lang w:val="en-US" w:eastAsia="zh-CN"/>
        </w:rPr>
        <w:t>天津市</w:t>
      </w:r>
      <w:r>
        <w:rPr>
          <w:rFonts w:hint="eastAsia" w:ascii="Times New Roman" w:hAnsi="Times New Roman" w:eastAsia="仿宋_GB2312"/>
          <w:color w:val="auto"/>
          <w:kern w:val="0"/>
          <w:sz w:val="32"/>
          <w:szCs w:val="32"/>
          <w:lang w:val="en-US" w:eastAsia="zh-CN"/>
        </w:rPr>
        <w:t>宁河区生态环境局</w:t>
      </w:r>
      <w:r>
        <w:rPr>
          <w:rFonts w:hint="eastAsia" w:eastAsia="仿宋_GB2312"/>
          <w:color w:val="auto"/>
          <w:kern w:val="0"/>
          <w:sz w:val="32"/>
          <w:szCs w:val="32"/>
          <w:lang w:val="en-US" w:eastAsia="zh-CN"/>
        </w:rPr>
        <w:t>向你单位作出</w:t>
      </w:r>
      <w:r>
        <w:rPr>
          <w:rFonts w:hint="eastAsia" w:ascii="Times New Roman" w:hAnsi="Times New Roman" w:eastAsia="仿宋_GB2312"/>
          <w:color w:val="auto"/>
          <w:kern w:val="0"/>
          <w:sz w:val="32"/>
          <w:szCs w:val="32"/>
          <w:lang w:val="en-US" w:eastAsia="zh-CN"/>
        </w:rPr>
        <w:t>《天津市宁河区生态环境局行政处罚决定书》（津宁生环罚</w:t>
      </w:r>
      <w:r>
        <w:rPr>
          <w:rFonts w:hint="eastAsia" w:eastAsia="仿宋_GB2312"/>
          <w:color w:val="auto"/>
          <w:kern w:val="0"/>
          <w:sz w:val="32"/>
          <w:szCs w:val="32"/>
          <w:lang w:val="en-US" w:eastAsia="zh-CN"/>
        </w:rPr>
        <w:t>字</w:t>
      </w:r>
      <w:r>
        <w:rPr>
          <w:rFonts w:hint="eastAsia" w:ascii="Times New Roman" w:hAnsi="Times New Roman" w:eastAsia="仿宋_GB2312"/>
          <w:color w:val="auto"/>
          <w:kern w:val="0"/>
          <w:sz w:val="32"/>
          <w:szCs w:val="32"/>
          <w:lang w:val="en-US" w:eastAsia="zh-CN"/>
        </w:rPr>
        <w:t>〔2023〕17号），对</w:t>
      </w:r>
      <w:r>
        <w:rPr>
          <w:rFonts w:hint="eastAsia" w:eastAsia="仿宋_GB2312"/>
          <w:color w:val="auto"/>
          <w:kern w:val="0"/>
          <w:sz w:val="32"/>
          <w:szCs w:val="32"/>
          <w:lang w:val="en-US" w:eastAsia="zh-CN"/>
        </w:rPr>
        <w:t>你</w:t>
      </w:r>
      <w:r>
        <w:rPr>
          <w:rFonts w:hint="eastAsia" w:ascii="Times New Roman" w:hAnsi="Times New Roman" w:eastAsia="仿宋_GB2312"/>
          <w:color w:val="auto"/>
          <w:kern w:val="0"/>
          <w:sz w:val="32"/>
          <w:szCs w:val="32"/>
          <w:lang w:val="en-US" w:eastAsia="zh-CN"/>
        </w:rPr>
        <w:t>单位处罚款贰万元</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该案已于2023年8月28日结案。</w:t>
      </w:r>
      <w:r>
        <w:rPr>
          <w:rFonts w:hint="eastAsia" w:ascii="Times New Roman" w:hAnsi="Times New Roman" w:eastAsia="仿宋_GB2312"/>
          <w:color w:val="auto"/>
          <w:sz w:val="32"/>
          <w:szCs w:val="32"/>
          <w:lang w:val="en-US" w:eastAsia="zh-CN"/>
        </w:rPr>
        <w:t>2023年10月12日</w:t>
      </w:r>
      <w:r>
        <w:rPr>
          <w:rFonts w:hint="eastAsia" w:ascii="Times New Roman" w:hAnsi="Times New Roman" w:eastAsia="仿宋_GB2312"/>
          <w:color w:val="auto"/>
          <w:sz w:val="32"/>
          <w:szCs w:val="32"/>
        </w:rPr>
        <w:t>我</w:t>
      </w:r>
      <w:r>
        <w:rPr>
          <w:rFonts w:hint="eastAsia" w:ascii="Times New Roman" w:hAnsi="Times New Roman" w:eastAsia="仿宋_GB2312"/>
          <w:color w:val="auto"/>
          <w:sz w:val="32"/>
          <w:szCs w:val="32"/>
          <w:lang w:val="en-US" w:eastAsia="zh-CN"/>
        </w:rPr>
        <w:t>局对你单位进行检查</w:t>
      </w:r>
      <w:r>
        <w:rPr>
          <w:rFonts w:hint="eastAsia" w:eastAsia="仿宋_GB2312"/>
          <w:color w:val="auto"/>
          <w:sz w:val="32"/>
          <w:szCs w:val="32"/>
          <w:lang w:val="en-US" w:eastAsia="zh-CN"/>
        </w:rPr>
        <w:t>，发现你单位</w:t>
      </w:r>
      <w:r>
        <w:rPr>
          <w:rFonts w:hint="eastAsia" w:ascii="Times New Roman" w:hAnsi="Times New Roman" w:eastAsia="仿宋_GB2312"/>
          <w:color w:val="auto"/>
          <w:sz w:val="32"/>
          <w:szCs w:val="32"/>
          <w:lang w:val="en-US" w:eastAsia="zh-CN"/>
        </w:rPr>
        <w:t>在线自动监测设施</w:t>
      </w:r>
      <w:r>
        <w:rPr>
          <w:rFonts w:hint="eastAsia" w:ascii="Times New Roman" w:hAnsi="Times New Roman" w:eastAsia="仿宋_GB2312" w:cs="Times New Roman"/>
          <w:color w:val="auto"/>
          <w:kern w:val="0"/>
          <w:sz w:val="32"/>
          <w:szCs w:val="32"/>
          <w:lang w:val="en-US" w:eastAsia="zh-CN"/>
        </w:rPr>
        <w:t>未按照规定与生态环境主管部门的监控设备联网</w:t>
      </w:r>
      <w:r>
        <w:rPr>
          <w:rFonts w:hint="eastAsia" w:eastAsia="仿宋_GB2312" w:cs="Times New Roman"/>
          <w:color w:val="auto"/>
          <w:kern w:val="0"/>
          <w:sz w:val="32"/>
          <w:szCs w:val="32"/>
          <w:lang w:val="en-US" w:eastAsia="zh-CN"/>
        </w:rPr>
        <w:t>，属于新的环境违法行为</w:t>
      </w:r>
      <w:r>
        <w:rPr>
          <w:rFonts w:hint="eastAsia" w:ascii="Times New Roman" w:hAnsi="Times New Roman" w:eastAsia="仿宋_GB2312"/>
          <w:color w:val="auto"/>
          <w:sz w:val="32"/>
          <w:szCs w:val="32"/>
          <w:lang w:val="en-US" w:eastAsia="zh-CN"/>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经调查，你单位于2023年9月底开始至执法人员2023年10月12日现场检查时处于生产状态，这期间均无数据上传至天津市重点污染源综合监控系统。根据《污染源自动监控管理办法》（国家环境保护总局令第28号）第十四条第五项、第十五条的规定和《市生态环境局关于印发&lt;天津市固定污染源自动监控管理办法&gt;的通知》（津环规范</w:t>
      </w:r>
      <w:r>
        <w:rPr>
          <w:rFonts w:ascii="Times New Roman" w:hAnsi="Times New Roman" w:eastAsia="仿宋_GB2312"/>
          <w:color w:val="auto"/>
          <w:kern w:val="0"/>
          <w:sz w:val="32"/>
          <w:szCs w:val="32"/>
        </w:rPr>
        <w:t>〔20</w:t>
      </w:r>
      <w:r>
        <w:rPr>
          <w:rFonts w:hint="eastAsia" w:eastAsia="仿宋_GB2312"/>
          <w:color w:val="auto"/>
          <w:kern w:val="0"/>
          <w:sz w:val="32"/>
          <w:szCs w:val="32"/>
          <w:lang w:val="en-US" w:eastAsia="zh-CN"/>
        </w:rPr>
        <w:t>19</w:t>
      </w:r>
      <w:r>
        <w:rPr>
          <w:rFonts w:ascii="Times New Roman" w:hAnsi="Times New Roman" w:eastAsia="仿宋_GB2312"/>
          <w:color w:val="auto"/>
          <w:kern w:val="0"/>
          <w:sz w:val="32"/>
          <w:szCs w:val="32"/>
        </w:rPr>
        <w:t>〕</w:t>
      </w:r>
      <w:r>
        <w:rPr>
          <w:rFonts w:hint="eastAsia" w:eastAsia="仿宋_GB2312"/>
          <w:color w:val="auto"/>
          <w:sz w:val="32"/>
          <w:szCs w:val="32"/>
          <w:lang w:val="en-US" w:eastAsia="zh-CN"/>
        </w:rPr>
        <w:t>7号）第十四条第四项的规定，你单位在</w:t>
      </w:r>
      <w:r>
        <w:rPr>
          <w:rFonts w:hint="eastAsia" w:ascii="Times New Roman" w:hAnsi="Times New Roman" w:eastAsia="仿宋_GB2312"/>
          <w:color w:val="auto"/>
          <w:sz w:val="32"/>
          <w:szCs w:val="32"/>
          <w:lang w:val="en-US" w:eastAsia="zh-CN"/>
        </w:rPr>
        <w:t>自动监测设施</w:t>
      </w:r>
      <w:r>
        <w:rPr>
          <w:rFonts w:hint="eastAsia" w:eastAsia="仿宋_GB2312"/>
          <w:color w:val="auto"/>
          <w:sz w:val="32"/>
          <w:szCs w:val="32"/>
          <w:lang w:val="en-US" w:eastAsia="zh-CN"/>
        </w:rPr>
        <w:t>停运期间应当向生态环境部门报告相关情况，且应当采用手工监测的方式对污染物排放状况进行监测并报送监测数据。</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3.2023年7月28日，属地生态环境部门天津市宁河区生态环境局对你单位“擅自拆除大气污染防治设施案”“污染源自动监测设备于2021年10月建成联网后，至2023年5月16日一直未组织验收案”“通过篡改、伪造监测数据等逃避监管的方式排放污染物案”分别作出3个行政处罚决定；2023年10月12日，我局执法人员对你单位进行现场检查时，发现你单位3号、4号焙烧炉正在生产，配套的水膜除尘脱硫塔未运行，脱硫水泵全部处于停运状态，焙烧工序产生的二氧化硫等废气未经处理直接排放，且在线自动监测设施未按照规定与生态环境主管部门的监控设备联网。你单位作为2021年至2023年天津市环境监管重点单位，本应当高度重视污染物排放治理及设施运行工作，但是综合上述检查、处罚情况，发现你单位生态环境保护意识不强，未切实履行好企业的环境保护主体责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olor w:val="auto"/>
          <w:kern w:val="0"/>
          <w:sz w:val="32"/>
          <w:szCs w:val="32"/>
          <w:lang w:val="en-US" w:eastAsia="zh-CN"/>
        </w:rPr>
      </w:pPr>
      <w:r>
        <w:rPr>
          <w:rFonts w:hint="eastAsia" w:eastAsia="仿宋_GB2312"/>
          <w:color w:val="auto"/>
          <w:kern w:val="0"/>
          <w:sz w:val="32"/>
          <w:szCs w:val="32"/>
          <w:lang w:val="en-US" w:eastAsia="zh-CN"/>
        </w:rPr>
        <w:t>综上</w:t>
      </w:r>
      <w:r>
        <w:rPr>
          <w:rFonts w:hint="default" w:ascii="Times New Roman" w:hAnsi="Times New Roman" w:eastAsia="仿宋_GB2312"/>
          <w:color w:val="auto"/>
          <w:kern w:val="0"/>
          <w:sz w:val="32"/>
          <w:szCs w:val="32"/>
          <w:lang w:val="en-US" w:eastAsia="zh-CN"/>
        </w:rPr>
        <w:t>，本案违法事实清楚、执法程序合法、法律适用准确、处罚幅度裁量合理。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《中华人民共和国大气污染防治法》第一百条第三项的规定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eastAsia="仿宋_GB2312"/>
          <w:color w:val="auto"/>
          <w:sz w:val="32"/>
          <w:szCs w:val="32"/>
          <w:lang w:val="en-US" w:eastAsia="zh-CN"/>
        </w:rPr>
        <w:t>立即</w:t>
      </w:r>
      <w:r>
        <w:rPr>
          <w:rFonts w:hint="eastAsia" w:ascii="Times New Roman" w:hAnsi="Times New Roman" w:eastAsia="仿宋_GB2312"/>
          <w:color w:val="auto"/>
          <w:sz w:val="32"/>
          <w:szCs w:val="32"/>
          <w:lang w:val="en-US" w:eastAsia="zh-CN"/>
        </w:rPr>
        <w:t>改正违法行为</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对你单位</w:t>
      </w:r>
      <w:r>
        <w:rPr>
          <w:rFonts w:ascii="Times New Roman" w:hAnsi="Times New Roman" w:eastAsia="仿宋_GB2312"/>
          <w:color w:val="auto"/>
          <w:kern w:val="0"/>
          <w:sz w:val="32"/>
          <w:szCs w:val="32"/>
        </w:rPr>
        <w:t>处罚款</w:t>
      </w:r>
      <w:r>
        <w:rPr>
          <w:rFonts w:hint="eastAsia" w:eastAsia="仿宋_GB2312"/>
          <w:color w:val="auto"/>
          <w:kern w:val="0"/>
          <w:sz w:val="32"/>
          <w:szCs w:val="32"/>
          <w:lang w:eastAsia="zh-CN"/>
        </w:rPr>
        <w:t>四</w:t>
      </w:r>
      <w:r>
        <w:rPr>
          <w:rFonts w:ascii="Times New Roman" w:hAnsi="Times New Roman"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eastAsia="仿宋_GB2312"/>
          <w:color w:val="auto"/>
          <w:kern w:val="0"/>
          <w:sz w:val="32"/>
          <w:szCs w:val="32"/>
          <w:lang w:eastAsia="zh-CN"/>
        </w:rPr>
        <w:t>立即</w:t>
      </w:r>
      <w:r>
        <w:rPr>
          <w:rFonts w:ascii="Times New Roman" w:hAnsi="Times New Roman" w:eastAsia="仿宋_GB2312"/>
          <w:color w:val="auto"/>
          <w:kern w:val="0"/>
          <w:sz w:val="32"/>
          <w:szCs w:val="32"/>
        </w:rPr>
        <w:t>改正违法行为</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在线自动监测设施</w:t>
      </w:r>
      <w:r>
        <w:rPr>
          <w:rFonts w:hint="eastAsia" w:eastAsia="仿宋_GB2312"/>
          <w:color w:val="auto"/>
          <w:kern w:val="0"/>
          <w:sz w:val="32"/>
          <w:szCs w:val="32"/>
          <w:lang w:val="en-US" w:eastAsia="zh-CN"/>
        </w:rPr>
        <w:t>应当</w:t>
      </w:r>
      <w:r>
        <w:rPr>
          <w:rFonts w:hint="eastAsia" w:ascii="Times New Roman" w:hAnsi="Times New Roman" w:eastAsia="仿宋_GB2312"/>
          <w:color w:val="auto"/>
          <w:kern w:val="0"/>
          <w:sz w:val="32"/>
          <w:szCs w:val="32"/>
          <w:lang w:val="en-US" w:eastAsia="zh-CN"/>
        </w:rPr>
        <w:t>按照规定与生态环境主管部门的监控设备联网。</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u w:val="single"/>
        </w:rPr>
      </w:pPr>
      <w:r>
        <w:rPr>
          <w:rFonts w:ascii="Times New Roman" w:hAnsi="Times New Roman"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如</w:t>
      </w:r>
      <w:r>
        <w:rPr>
          <w:rFonts w:hint="eastAsia" w:ascii="Times New Roman" w:hAnsi="Times New Roman"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黑体" w:cs="黑体"/>
          <w:b w:val="0"/>
          <w:bCs w:val="0"/>
          <w:color w:val="auto"/>
          <w:kern w:val="0"/>
          <w:sz w:val="32"/>
          <w:szCs w:val="32"/>
          <w:lang w:val="en-US" w:eastAsia="zh-CN"/>
        </w:rPr>
      </w:pPr>
      <w:r>
        <w:rPr>
          <w:rFonts w:hint="eastAsia" w:ascii="Times New Roman" w:hAnsi="Times New Roman"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ascii="Times New Roman" w:hAnsi="Times New Roman"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bookmarkStart w:id="4" w:name="PO_7_QianFaShiJian"/>
      <w:r>
        <w:rPr>
          <w:rFonts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月</w:t>
      </w:r>
      <w:bookmarkEnd w:id="4"/>
      <w:r>
        <w:rPr>
          <w:rFonts w:hint="eastAsia" w:eastAsia="仿宋_GB2312"/>
          <w:color w:val="auto"/>
          <w:kern w:val="0"/>
          <w:sz w:val="32"/>
          <w:szCs w:val="32"/>
          <w:lang w:val="en-US" w:eastAsia="zh-CN"/>
        </w:rPr>
        <w:t>12</w:t>
      </w:r>
      <w:r>
        <w:rPr>
          <w:rFonts w:ascii="Times New Roman" w:hAnsi="Times New Roman"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注：此文书一式</w:t>
      </w:r>
      <w:r>
        <w:rPr>
          <w:rFonts w:hint="eastAsia" w:ascii="Times New Roman" w:hAnsi="Times New Roman" w:eastAsia="仿宋_GB2312"/>
          <w:color w:val="auto"/>
          <w:kern w:val="0"/>
          <w:sz w:val="28"/>
          <w:szCs w:val="28"/>
          <w:lang w:val="en-US" w:eastAsia="zh-CN"/>
        </w:rPr>
        <w:t>三</w:t>
      </w:r>
      <w:r>
        <w:rPr>
          <w:rFonts w:ascii="Times New Roman" w:hAnsi="Times New Roman" w:eastAsia="仿宋_GB2312"/>
          <w:color w:val="auto"/>
          <w:kern w:val="0"/>
          <w:sz w:val="28"/>
          <w:szCs w:val="28"/>
        </w:rPr>
        <w:t>份，</w:t>
      </w:r>
      <w:r>
        <w:rPr>
          <w:rFonts w:hint="eastAsia" w:ascii="Times New Roman" w:hAnsi="Times New Roman" w:eastAsia="仿宋_GB2312"/>
          <w:color w:val="auto"/>
          <w:kern w:val="0"/>
          <w:sz w:val="28"/>
          <w:szCs w:val="28"/>
          <w:lang w:val="en-US" w:eastAsia="zh-CN"/>
        </w:rPr>
        <w:t>二</w:t>
      </w:r>
      <w:r>
        <w:rPr>
          <w:rFonts w:ascii="Times New Roman" w:hAnsi="Times New Roman"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99A20B0"/>
    <w:rsid w:val="0BEF1CBD"/>
    <w:rsid w:val="0DA33589"/>
    <w:rsid w:val="14A22454"/>
    <w:rsid w:val="17337250"/>
    <w:rsid w:val="1C50663B"/>
    <w:rsid w:val="1CC54CEB"/>
    <w:rsid w:val="1D0D63C5"/>
    <w:rsid w:val="1F6A3919"/>
    <w:rsid w:val="2378242F"/>
    <w:rsid w:val="253E39E2"/>
    <w:rsid w:val="27FC4468"/>
    <w:rsid w:val="2F096FCE"/>
    <w:rsid w:val="2F287748"/>
    <w:rsid w:val="2FA628CB"/>
    <w:rsid w:val="377B0704"/>
    <w:rsid w:val="3BA70B39"/>
    <w:rsid w:val="442B1513"/>
    <w:rsid w:val="45934B33"/>
    <w:rsid w:val="473A0DD5"/>
    <w:rsid w:val="47C66189"/>
    <w:rsid w:val="49777E24"/>
    <w:rsid w:val="51935037"/>
    <w:rsid w:val="51D77FFC"/>
    <w:rsid w:val="53767495"/>
    <w:rsid w:val="5445418A"/>
    <w:rsid w:val="5C9F4A39"/>
    <w:rsid w:val="5DD022F3"/>
    <w:rsid w:val="5E2470F6"/>
    <w:rsid w:val="5E664643"/>
    <w:rsid w:val="61787F41"/>
    <w:rsid w:val="623C392D"/>
    <w:rsid w:val="65465834"/>
    <w:rsid w:val="68FE73B9"/>
    <w:rsid w:val="6CDF7231"/>
    <w:rsid w:val="71BC626B"/>
    <w:rsid w:val="71F76391"/>
    <w:rsid w:val="743631A3"/>
    <w:rsid w:val="747274E8"/>
    <w:rsid w:val="748036BE"/>
    <w:rsid w:val="76072691"/>
    <w:rsid w:val="7ABC7933"/>
    <w:rsid w:val="7F0C397B"/>
    <w:rsid w:val="7F4F23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7"/>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1702</Words>
  <Characters>1862</Characters>
  <Lines>8</Lines>
  <Paragraphs>2</Paragraphs>
  <TotalTime>4</TotalTime>
  <ScaleCrop>false</ScaleCrop>
  <LinksUpToDate>false</LinksUpToDate>
  <CharactersWithSpaces>1972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孙国力</cp:lastModifiedBy>
  <cp:lastPrinted>2024-01-12T07:53:00Z</cp:lastPrinted>
  <dcterms:modified xsi:type="dcterms:W3CDTF">2024-01-15T03:13:50Z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5AEEE22205964085B9F5F4290C653CAA_11</vt:lpwstr>
  </property>
</Properties>
</file>