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auto"/>
          <w:kern w:val="0"/>
          <w:sz w:val="44"/>
          <w:szCs w:val="44"/>
        </w:rPr>
      </w:pPr>
      <w:bookmarkStart w:id="0" w:name="PO_2_DanWeiMingCheng"/>
      <w:bookmarkStart w:id="1" w:name="PO_2_ChuFaAnZi"/>
      <w:r>
        <w:rPr>
          <w:rFonts w:eastAsia="方正小标宋简体"/>
          <w:color w:val="auto"/>
          <w:kern w:val="0"/>
          <w:sz w:val="44"/>
          <w:szCs w:val="44"/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auto"/>
          <w:spacing w:val="1"/>
          <w:kern w:val="0"/>
          <w:sz w:val="44"/>
          <w:szCs w:val="44"/>
        </w:rPr>
      </w:pPr>
      <w:r>
        <w:rPr>
          <w:rFonts w:eastAsia="方正小标宋简体"/>
          <w:color w:val="auto"/>
          <w:spacing w:val="1"/>
          <w:kern w:val="0"/>
          <w:sz w:val="44"/>
          <w:szCs w:val="44"/>
        </w:rPr>
        <w:t>行政处</w:t>
      </w:r>
      <w:r>
        <w:rPr>
          <w:rFonts w:eastAsia="方正小标宋简体"/>
          <w:color w:val="auto"/>
          <w:kern w:val="0"/>
          <w:sz w:val="44"/>
          <w:szCs w:val="44"/>
        </w:rPr>
        <w:t>罚决</w:t>
      </w:r>
      <w:r>
        <w:rPr>
          <w:rFonts w:eastAsia="方正小标宋简体"/>
          <w:color w:val="auto"/>
          <w:spacing w:val="1"/>
          <w:kern w:val="0"/>
          <w:sz w:val="44"/>
          <w:szCs w:val="44"/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119"/>
        <w:jc w:val="both"/>
        <w:textAlignment w:val="auto"/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</w:pPr>
    </w:p>
    <w:bookmarkEnd w:id="1"/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  <w:r>
        <w:rPr>
          <w:rFonts w:eastAsia="仿宋_GB2312"/>
          <w:color w:val="auto"/>
          <w:spacing w:val="1"/>
          <w:kern w:val="0"/>
          <w:position w:val="-2"/>
          <w:sz w:val="32"/>
          <w:szCs w:val="32"/>
        </w:rPr>
        <w:t>津市环罚字</w:t>
      </w:r>
      <w:bookmarkStart w:id="2" w:name="PO_7_NianDuBianHao"/>
      <w:r>
        <w:rPr>
          <w:rFonts w:eastAsia="仿宋_GB2312"/>
          <w:color w:val="auto"/>
          <w:kern w:val="0"/>
          <w:position w:val="-2"/>
          <w:sz w:val="32"/>
          <w:szCs w:val="32"/>
        </w:rPr>
        <w:t>〔20</w:t>
      </w:r>
      <w:bookmarkEnd w:id="2"/>
      <w:r>
        <w:rPr>
          <w:rFonts w:hint="eastAsia" w:eastAsia="仿宋_GB2312"/>
          <w:color w:val="auto"/>
          <w:kern w:val="0"/>
          <w:position w:val="-2"/>
          <w:sz w:val="32"/>
          <w:szCs w:val="32"/>
          <w:lang w:val="en-US" w:eastAsia="zh-CN"/>
        </w:rPr>
        <w:t>24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color w:val="auto"/>
          <w:kern w:val="0"/>
          <w:position w:val="-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119"/>
        <w:jc w:val="center"/>
        <w:textAlignment w:val="auto"/>
        <w:rPr>
          <w:rFonts w:eastAsia="仿宋_GB2312"/>
          <w:color w:val="auto"/>
          <w:kern w:val="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天津市鑫鹏热镀锌有限公司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统一社会信用代码：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91120111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744023969G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西青区王稳庄镇东兰坨村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法定代表人：万宗国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你单位环境违法一案，我局经调查，现已审查终结。</w:t>
      </w:r>
    </w:p>
    <w:p>
      <w:pPr>
        <w:keepNext w:val="0"/>
        <w:keepLines w:val="0"/>
        <w:pageBreakBefore w:val="0"/>
        <w:widowControl w:val="0"/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一、调查情况及发现的环境违法事实、证据和陈述申辩（听证）及采纳情况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</w:rPr>
        <w:t>我局于</w:t>
      </w:r>
      <w:r>
        <w:rPr>
          <w:rFonts w:eastAsia="仿宋_GB2312"/>
          <w:color w:val="auto"/>
          <w:sz w:val="32"/>
          <w:szCs w:val="32"/>
        </w:rPr>
        <w:t>20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color w:val="auto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auto"/>
          <w:sz w:val="32"/>
          <w:szCs w:val="32"/>
        </w:rPr>
        <w:t>日对你单位进行了调查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。参考你单位《天津市鑫鹏热镀锌有限公司环境影响整改分析报告》及《排污许可证（副本）》（证书编号：91120111744023969G001R）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，你单位酸洗工序产生盐酸雾，酸洗槽边采用侧吸风的方式，将盐酸雾利用耐酸风机引至酸雾吸收塔处理后排放。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val="en-US" w:eastAsia="zh-CN"/>
        </w:rPr>
        <w:t>经调查，</w:t>
      </w:r>
      <w:r>
        <w:rPr>
          <w:rFonts w:eastAsia="仿宋_GB2312"/>
          <w:color w:val="auto"/>
          <w:sz w:val="32"/>
          <w:szCs w:val="32"/>
        </w:rPr>
        <w:t>发现你单位实施了以下环境违法行为：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</w:rPr>
        <w:t>现场检查时，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</w:t>
      </w:r>
      <w:r>
        <w:rPr>
          <w:rFonts w:hint="eastAsia" w:eastAsia="仿宋_GB2312"/>
          <w:color w:val="auto"/>
          <w:sz w:val="32"/>
          <w:szCs w:val="32"/>
        </w:rPr>
        <w:t>单位</w:t>
      </w:r>
      <w:r>
        <w:rPr>
          <w:rFonts w:hint="eastAsia" w:eastAsia="仿宋_GB2312"/>
          <w:color w:val="auto"/>
          <w:sz w:val="32"/>
          <w:szCs w:val="32"/>
          <w:lang w:eastAsia="zh-CN"/>
        </w:rPr>
        <w:t>酸洗工序正在生产</w:t>
      </w:r>
      <w:r>
        <w:rPr>
          <w:rFonts w:hint="eastAsia" w:eastAsia="仿宋_GB2312"/>
          <w:color w:val="auto"/>
          <w:sz w:val="32"/>
          <w:szCs w:val="32"/>
        </w:rPr>
        <w:t>，盐酸雾吸收塔的循环泵</w:t>
      </w:r>
      <w:r>
        <w:rPr>
          <w:rFonts w:hint="eastAsia" w:eastAsia="仿宋_GB2312"/>
          <w:color w:val="auto"/>
          <w:sz w:val="32"/>
          <w:szCs w:val="32"/>
          <w:lang w:eastAsia="zh-CN"/>
        </w:rPr>
        <w:t>正在运行</w:t>
      </w:r>
      <w:r>
        <w:rPr>
          <w:rFonts w:hint="eastAsia" w:eastAsia="仿宋_GB2312"/>
          <w:color w:val="auto"/>
          <w:sz w:val="32"/>
          <w:szCs w:val="32"/>
        </w:rPr>
        <w:t>，但风机未开启。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</w:t>
      </w:r>
      <w:bookmarkStart w:id="3" w:name="PO_4_ShiShiZhengJu"/>
      <w:r>
        <w:rPr>
          <w:rFonts w:eastAsia="仿宋_GB2312"/>
          <w:color w:val="auto"/>
          <w:kern w:val="0"/>
          <w:sz w:val="32"/>
          <w:szCs w:val="32"/>
        </w:rPr>
        <w:t>《天津市生态环境局现场检查（勘察）笔录》《天津市生态环境局调查询问笔录》</w:t>
      </w:r>
      <w:r>
        <w:rPr>
          <w:rFonts w:hint="eastAsia" w:eastAsia="仿宋_GB2312"/>
          <w:color w:val="auto"/>
          <w:sz w:val="32"/>
          <w:szCs w:val="32"/>
        </w:rPr>
        <w:t>、</w:t>
      </w:r>
      <w:r>
        <w:rPr>
          <w:rFonts w:hint="eastAsia" w:eastAsia="仿宋_GB2312"/>
          <w:color w:val="auto"/>
          <w:sz w:val="32"/>
          <w:szCs w:val="32"/>
          <w:lang w:eastAsia="zh-CN"/>
        </w:rPr>
        <w:t>你单位《天津市鑫鹏热镀锌有限公司环境影响整改分析报告》及《排污许可证（副本）》（证书编号：91120111744023969G001R）、</w:t>
      </w:r>
      <w:r>
        <w:rPr>
          <w:rFonts w:eastAsia="仿宋_GB2312"/>
          <w:color w:val="auto"/>
          <w:sz w:val="32"/>
          <w:szCs w:val="32"/>
        </w:rPr>
        <w:t>现场拍摄的视频以及营业执照复印件</w:t>
      </w:r>
      <w:bookmarkEnd w:id="3"/>
      <w:r>
        <w:rPr>
          <w:rFonts w:eastAsia="仿宋_GB2312"/>
          <w:color w:val="auto"/>
          <w:sz w:val="32"/>
          <w:szCs w:val="32"/>
        </w:rPr>
        <w:t>等证据为凭。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sz w:val="32"/>
          <w:szCs w:val="32"/>
        </w:rPr>
        <w:t>你单位上述行为违反了</w:t>
      </w:r>
      <w:r>
        <w:rPr>
          <w:rFonts w:hint="eastAsia" w:eastAsia="仿宋_GB2312"/>
          <w:color w:val="auto"/>
          <w:sz w:val="32"/>
          <w:szCs w:val="32"/>
        </w:rPr>
        <w:t>《天津市大气污染防治条例》第十九条第一款</w:t>
      </w:r>
      <w:r>
        <w:rPr>
          <w:rFonts w:eastAsia="仿宋_GB2312"/>
          <w:color w:val="auto"/>
          <w:sz w:val="32"/>
          <w:szCs w:val="32"/>
        </w:rPr>
        <w:t>的规定</w:t>
      </w:r>
      <w:r>
        <w:rPr>
          <w:rFonts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属于未按照规定使用大气污染防治设施的环境违法行为，</w:t>
      </w:r>
      <w:r>
        <w:rPr>
          <w:rFonts w:eastAsia="仿宋_GB2312"/>
          <w:color w:val="auto"/>
          <w:kern w:val="0"/>
          <w:sz w:val="32"/>
          <w:szCs w:val="32"/>
        </w:rPr>
        <w:t xml:space="preserve">依法应当予以处罚。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16</w:t>
      </w:r>
      <w:r>
        <w:rPr>
          <w:rFonts w:eastAsia="仿宋_GB2312"/>
          <w:color w:val="auto"/>
          <w:kern w:val="0"/>
          <w:sz w:val="32"/>
          <w:szCs w:val="32"/>
        </w:rPr>
        <w:t>日以《天津市生态环境局行政</w:t>
      </w:r>
      <w:r>
        <w:rPr>
          <w:rFonts w:hint="eastAsia" w:eastAsia="仿宋_GB2312"/>
          <w:color w:val="auto"/>
          <w:kern w:val="0"/>
          <w:sz w:val="32"/>
          <w:szCs w:val="32"/>
        </w:rPr>
        <w:t>处罚事先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204</w:t>
      </w:r>
      <w:r>
        <w:rPr>
          <w:rFonts w:eastAsia="仿宋_GB2312"/>
          <w:color w:val="auto"/>
          <w:kern w:val="0"/>
          <w:sz w:val="32"/>
          <w:szCs w:val="32"/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eastAsia="仿宋_GB2312"/>
          <w:color w:val="auto"/>
          <w:kern w:val="0"/>
          <w:sz w:val="32"/>
          <w:szCs w:val="32"/>
        </w:rPr>
        <w:t>陈述</w:t>
      </w:r>
      <w:r>
        <w:rPr>
          <w:rFonts w:hint="eastAsia" w:eastAsia="仿宋_GB2312"/>
          <w:color w:val="auto"/>
          <w:kern w:val="0"/>
          <w:sz w:val="32"/>
          <w:szCs w:val="32"/>
        </w:rPr>
        <w:t>、申辩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意见</w:t>
      </w:r>
      <w:r>
        <w:rPr>
          <w:rFonts w:eastAsia="仿宋_GB2312"/>
          <w:color w:val="auto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</w:rPr>
        <w:t>我局于20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</w:rPr>
        <w:t>日向你单位送达上述文件，你单位于当日签收。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月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eastAsia" w:eastAsia="仿宋_GB2312"/>
          <w:color w:val="auto"/>
          <w:kern w:val="0"/>
          <w:sz w:val="32"/>
          <w:szCs w:val="32"/>
        </w:rPr>
        <w:t>日，你单位向我局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提出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陈述申辩意见如下：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现场检查当日企业热镀锌生产线正在检修，计划次日启动生产，工人误把几根钢构件放入盐酸池进行酸洗，且工人认为几根钢构件不会产生多少盐酸雾，故没有及时开启酸雾吸收塔主风机。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2.现场检查指出问题后，企业立即整改，开启酸雾吸收塔风机，将钢构件从盐酸池提出，并召开全员大会学习环保知识，增强环保法规意识。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以上事实，有《天津市生态环境局行政处罚</w:t>
      </w:r>
      <w:r>
        <w:rPr>
          <w:rFonts w:hint="eastAsia" w:eastAsia="仿宋_GB2312"/>
          <w:color w:val="auto"/>
          <w:kern w:val="0"/>
          <w:sz w:val="32"/>
          <w:szCs w:val="32"/>
        </w:rPr>
        <w:t>事先</w:t>
      </w:r>
      <w:r>
        <w:rPr>
          <w:rFonts w:eastAsia="仿宋_GB2312"/>
          <w:color w:val="auto"/>
          <w:kern w:val="0"/>
          <w:sz w:val="32"/>
          <w:szCs w:val="32"/>
        </w:rPr>
        <w:t>告知书》（津市环</w:t>
      </w:r>
      <w:r>
        <w:rPr>
          <w:rFonts w:hint="eastAsia" w:eastAsia="仿宋_GB2312"/>
          <w:color w:val="auto"/>
          <w:kern w:val="0"/>
          <w:sz w:val="32"/>
          <w:szCs w:val="32"/>
        </w:rPr>
        <w:t>事</w:t>
      </w:r>
      <w:r>
        <w:rPr>
          <w:rFonts w:eastAsia="仿宋_GB2312"/>
          <w:color w:val="auto"/>
          <w:kern w:val="0"/>
          <w:sz w:val="32"/>
          <w:szCs w:val="32"/>
        </w:rPr>
        <w:t>告字〔20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23</w:t>
      </w:r>
      <w:r>
        <w:rPr>
          <w:rFonts w:eastAsia="仿宋_GB2312"/>
          <w:color w:val="auto"/>
          <w:kern w:val="0"/>
          <w:sz w:val="32"/>
          <w:szCs w:val="32"/>
        </w:rPr>
        <w:t>〕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204</w:t>
      </w:r>
      <w:r>
        <w:rPr>
          <w:rFonts w:eastAsia="仿宋_GB2312"/>
          <w:color w:val="auto"/>
          <w:kern w:val="0"/>
          <w:sz w:val="32"/>
          <w:szCs w:val="32"/>
        </w:rPr>
        <w:t>号）</w:t>
      </w:r>
      <w:r>
        <w:rPr>
          <w:rFonts w:hint="eastAsia" w:eastAsia="仿宋_GB2312"/>
          <w:color w:val="auto"/>
          <w:kern w:val="0"/>
          <w:sz w:val="32"/>
          <w:szCs w:val="32"/>
        </w:rPr>
        <w:t>及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eastAsia="仿宋_GB2312"/>
          <w:color w:val="auto"/>
          <w:kern w:val="0"/>
          <w:sz w:val="32"/>
          <w:szCs w:val="32"/>
        </w:rPr>
        <w:t>送达回证、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你单位提出的</w:t>
      </w:r>
      <w:r>
        <w:rPr>
          <w:rFonts w:hint="eastAsia" w:eastAsia="仿宋_GB2312"/>
          <w:color w:val="auto"/>
          <w:kern w:val="0"/>
          <w:sz w:val="32"/>
          <w:szCs w:val="32"/>
        </w:rPr>
        <w:t>陈述申辩材料</w:t>
      </w:r>
      <w:r>
        <w:rPr>
          <w:rFonts w:eastAsia="仿宋_GB2312"/>
          <w:color w:val="auto"/>
          <w:kern w:val="0"/>
          <w:sz w:val="32"/>
          <w:szCs w:val="32"/>
        </w:rPr>
        <w:t xml:space="preserve">等证据为凭。  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经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集体审议</w:t>
      </w:r>
      <w:r>
        <w:rPr>
          <w:rFonts w:hint="eastAsia" w:eastAsia="仿宋_GB2312"/>
          <w:color w:val="auto"/>
          <w:kern w:val="0"/>
          <w:sz w:val="32"/>
          <w:szCs w:val="32"/>
        </w:rPr>
        <w:t>，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你单位提交的陈述申辩意见不影响违法事实的认定。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我局于2023年11月20日再次对你单位进行检查，你单位焊接工序未按照规定使用大气污染防治设施，存在相同类型环境违法行为。综合考虑，不采纳你单位陈述申辩意见。</w:t>
      </w:r>
    </w:p>
    <w:p>
      <w:pPr>
        <w:keepNext w:val="0"/>
        <w:keepLines w:val="0"/>
        <w:pageBreakBefore w:val="0"/>
        <w:widowControl w:val="0"/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二、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责令改正和行政处罚的依据、种类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依据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《天津市大气污染防治条例》第七十七条第二项</w:t>
      </w:r>
      <w:r>
        <w:rPr>
          <w:rFonts w:hint="eastAsia" w:eastAsia="仿宋_GB2312"/>
          <w:color w:val="auto"/>
          <w:kern w:val="0"/>
          <w:sz w:val="32"/>
          <w:szCs w:val="32"/>
        </w:rPr>
        <w:t>的</w:t>
      </w:r>
      <w:r>
        <w:rPr>
          <w:rFonts w:eastAsia="仿宋_GB2312"/>
          <w:color w:val="auto"/>
          <w:kern w:val="0"/>
          <w:sz w:val="32"/>
          <w:szCs w:val="32"/>
        </w:rPr>
        <w:t>规定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，我局：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>1.</w:t>
      </w:r>
      <w:r>
        <w:rPr>
          <w:rFonts w:hint="eastAsia" w:eastAsia="仿宋_GB2312"/>
          <w:color w:val="auto"/>
          <w:kern w:val="0"/>
          <w:sz w:val="32"/>
          <w:szCs w:val="32"/>
        </w:rPr>
        <w:t>责令你单位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停止违法行为，立即改正</w:t>
      </w:r>
      <w:r>
        <w:rPr>
          <w:rFonts w:hint="eastAsia" w:eastAsia="仿宋_GB2312"/>
          <w:color w:val="auto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2</w:t>
      </w:r>
      <w:r>
        <w:rPr>
          <w:rFonts w:eastAsia="仿宋_GB2312"/>
          <w:color w:val="auto"/>
          <w:kern w:val="0"/>
          <w:sz w:val="32"/>
          <w:szCs w:val="32"/>
        </w:rPr>
        <w:t>.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对你单位</w:t>
      </w:r>
      <w:r>
        <w:rPr>
          <w:rFonts w:eastAsia="仿宋_GB2312"/>
          <w:color w:val="auto"/>
          <w:kern w:val="0"/>
          <w:sz w:val="32"/>
          <w:szCs w:val="32"/>
        </w:rPr>
        <w:t>处罚款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三</w:t>
      </w:r>
      <w:r>
        <w:rPr>
          <w:rFonts w:eastAsia="仿宋_GB2312"/>
          <w:color w:val="auto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黑体"/>
          <w:color w:val="auto"/>
          <w:kern w:val="0"/>
          <w:sz w:val="32"/>
          <w:szCs w:val="32"/>
        </w:rPr>
      </w:pPr>
      <w:r>
        <w:rPr>
          <w:rFonts w:eastAsia="黑体"/>
          <w:color w:val="auto"/>
          <w:kern w:val="0"/>
          <w:sz w:val="32"/>
          <w:szCs w:val="32"/>
        </w:rPr>
        <w:t>三、</w:t>
      </w:r>
      <w:r>
        <w:rPr>
          <w:rFonts w:hint="eastAsia" w:eastAsia="黑体"/>
          <w:color w:val="auto"/>
          <w:kern w:val="0"/>
          <w:sz w:val="32"/>
          <w:szCs w:val="32"/>
        </w:rPr>
        <w:t>责令改正和</w:t>
      </w:r>
      <w:r>
        <w:rPr>
          <w:rFonts w:eastAsia="黑体"/>
          <w:color w:val="auto"/>
          <w:kern w:val="0"/>
          <w:sz w:val="32"/>
          <w:szCs w:val="32"/>
        </w:rPr>
        <w:t>处罚决定的履行方式和期限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（一）关于责令改正的履行方式和期限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auto"/>
          <w:kern w:val="0"/>
          <w:sz w:val="32"/>
          <w:szCs w:val="32"/>
        </w:rPr>
        <w:t>你单位应于接到本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处罚</w:t>
      </w:r>
      <w:r>
        <w:rPr>
          <w:rFonts w:eastAsia="仿宋_GB2312"/>
          <w:color w:val="auto"/>
          <w:kern w:val="0"/>
          <w:sz w:val="32"/>
          <w:szCs w:val="32"/>
        </w:rPr>
        <w:t>决定书之日起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立即</w:t>
      </w:r>
      <w:r>
        <w:rPr>
          <w:rFonts w:eastAsia="仿宋_GB2312"/>
          <w:color w:val="auto"/>
          <w:kern w:val="0"/>
          <w:sz w:val="32"/>
          <w:szCs w:val="32"/>
        </w:rPr>
        <w:t>改正违法行为。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你单位应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严格按照规定使用配套的大气污染防治设施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ascii="楷体" w:hAnsi="楷体" w:eastAsia="楷体"/>
          <w:color w:val="auto"/>
          <w:kern w:val="0"/>
          <w:sz w:val="32"/>
          <w:szCs w:val="32"/>
        </w:rPr>
      </w:pPr>
      <w:r>
        <w:rPr>
          <w:rFonts w:ascii="楷体" w:hAnsi="楷体" w:eastAsia="楷体"/>
          <w:color w:val="auto"/>
          <w:kern w:val="0"/>
          <w:sz w:val="32"/>
          <w:szCs w:val="32"/>
        </w:rPr>
        <w:t>（二）关于</w:t>
      </w:r>
      <w:r>
        <w:rPr>
          <w:rFonts w:hint="eastAsia" w:ascii="楷体" w:hAnsi="楷体" w:eastAsia="楷体"/>
          <w:color w:val="auto"/>
          <w:kern w:val="0"/>
          <w:sz w:val="32"/>
          <w:szCs w:val="32"/>
          <w:lang w:eastAsia="zh-CN"/>
        </w:rPr>
        <w:t>处罚决定</w:t>
      </w:r>
      <w:r>
        <w:rPr>
          <w:rFonts w:ascii="楷体" w:hAnsi="楷体" w:eastAsia="楷体"/>
          <w:color w:val="auto"/>
          <w:kern w:val="0"/>
          <w:sz w:val="32"/>
          <w:szCs w:val="32"/>
        </w:rPr>
        <w:t>的履行方式和期限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kern w:val="0"/>
          <w:sz w:val="32"/>
          <w:szCs w:val="32"/>
        </w:rPr>
        <w:t>依据</w:t>
      </w:r>
      <w:r>
        <w:rPr>
          <w:rFonts w:eastAsia="仿宋_GB2312"/>
          <w:color w:val="auto"/>
          <w:kern w:val="0"/>
          <w:sz w:val="32"/>
          <w:szCs w:val="32"/>
        </w:rPr>
        <w:t>《中华人民共和国行政处罚法》和《罚款决定与罚款收缴分离实施办法》的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相关</w:t>
      </w:r>
      <w:r>
        <w:rPr>
          <w:rFonts w:eastAsia="仿宋_GB2312"/>
          <w:color w:val="auto"/>
          <w:kern w:val="0"/>
          <w:sz w:val="32"/>
          <w:szCs w:val="32"/>
        </w:rPr>
        <w:t>规定，你单位接到本处罚决定书之日起十五日内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应</w:t>
      </w:r>
      <w:r>
        <w:rPr>
          <w:rFonts w:eastAsia="仿宋_GB2312"/>
          <w:color w:val="auto"/>
          <w:kern w:val="0"/>
          <w:sz w:val="32"/>
          <w:szCs w:val="32"/>
        </w:rPr>
        <w:t>领取《非税收入统一缴款书</w:t>
      </w:r>
      <w:r>
        <w:rPr>
          <w:rFonts w:hint="eastAsia" w:eastAsia="仿宋_GB2312"/>
          <w:color w:val="auto"/>
          <w:kern w:val="0"/>
          <w:sz w:val="32"/>
          <w:szCs w:val="32"/>
        </w:rPr>
        <w:t>（缴款通知书）</w:t>
      </w:r>
      <w:r>
        <w:rPr>
          <w:rFonts w:eastAsia="仿宋_GB2312"/>
          <w:color w:val="auto"/>
          <w:kern w:val="0"/>
          <w:sz w:val="32"/>
          <w:szCs w:val="32"/>
        </w:rPr>
        <w:t>》并缴至指定银行。你单位逾期不缴纳罚款的，我局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可以</w:t>
      </w:r>
      <w:r>
        <w:rPr>
          <w:rFonts w:eastAsia="仿宋_GB2312"/>
          <w:color w:val="auto"/>
          <w:kern w:val="0"/>
          <w:sz w:val="32"/>
          <w:szCs w:val="32"/>
        </w:rPr>
        <w:t xml:space="preserve">依法每日按罚款数额的3%加处罚款。     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720" w:firstLineChars="225"/>
        <w:jc w:val="left"/>
        <w:textAlignment w:val="auto"/>
        <w:rPr>
          <w:rFonts w:eastAsia="黑体"/>
          <w:color w:val="auto"/>
          <w:kern w:val="0"/>
          <w:sz w:val="32"/>
          <w:szCs w:val="32"/>
          <w:u w:val="single"/>
        </w:rPr>
      </w:pPr>
      <w:r>
        <w:rPr>
          <w:rFonts w:eastAsia="黑体"/>
          <w:color w:val="auto"/>
          <w:kern w:val="0"/>
          <w:sz w:val="32"/>
          <w:szCs w:val="32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如对本处罚决定不服，你单位可在收到本决定书之日起60日内向天津市人民政府申请行政复议</w:t>
      </w: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天津市司法局，咨询电话：23082169；互联网申请邮箱：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tjsxzfy@tj.gov.cn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，也可在6个月内直接向天津铁路运输法院提起行政诉讼</w:t>
      </w:r>
      <w:r>
        <w:rPr>
          <w:rStyle w:val="12"/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申请行政复议或者提起行政诉讼，不停止</w:t>
      </w:r>
      <w:r>
        <w:rPr>
          <w:rFonts w:hint="eastAsia" w:eastAsia="仿宋_GB2312"/>
          <w:color w:val="auto"/>
          <w:kern w:val="0"/>
          <w:sz w:val="32"/>
          <w:szCs w:val="32"/>
          <w:u w:val="none"/>
          <w:lang w:val="en-US" w:eastAsia="zh-CN"/>
        </w:rPr>
        <w:t>本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行政处罚决定的执行。逾期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不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申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请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行政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复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议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，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不提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起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行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政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诉讼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，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又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不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履行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本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处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罚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决定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的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，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我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局将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依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法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申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请人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民法</w:t>
      </w:r>
      <w:r>
        <w:rPr>
          <w:rFonts w:eastAsia="仿宋_GB2312"/>
          <w:color w:val="auto"/>
          <w:spacing w:val="2"/>
          <w:kern w:val="0"/>
          <w:sz w:val="32"/>
          <w:szCs w:val="32"/>
          <w:u w:val="none"/>
        </w:rPr>
        <w:t>院</w:t>
      </w:r>
      <w:r>
        <w:rPr>
          <w:rFonts w:eastAsia="仿宋_GB2312"/>
          <w:color w:val="auto"/>
          <w:spacing w:val="1"/>
          <w:kern w:val="0"/>
          <w:sz w:val="32"/>
          <w:szCs w:val="32"/>
          <w:u w:val="none"/>
        </w:rPr>
        <w:t>强</w:t>
      </w:r>
      <w:r>
        <w:rPr>
          <w:rFonts w:eastAsia="仿宋_GB2312"/>
          <w:color w:val="auto"/>
          <w:kern w:val="0"/>
          <w:sz w:val="32"/>
          <w:szCs w:val="32"/>
          <w:u w:val="none"/>
        </w:rPr>
        <w:t>制执行。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五、信用中国网站信用修复</w:t>
      </w:r>
    </w:p>
    <w:p>
      <w:pPr>
        <w:keepNext w:val="0"/>
        <w:keepLines w:val="0"/>
        <w:pageBreakBefore w:val="0"/>
        <w:widowControl w:val="0"/>
        <w:tabs>
          <w:tab w:val="left" w:pos="894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信用修复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/>
        </w:rPr>
        <w:t>（咨询电话：23129752）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5980"/>
          <w:tab w:val="left" w:pos="8460"/>
          <w:tab w:val="left" w:pos="9265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ind w:right="-20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0" w:lineRule="exact"/>
        <w:jc w:val="left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580" w:lineRule="exact"/>
        <w:jc w:val="center"/>
        <w:textAlignment w:val="auto"/>
        <w:rPr>
          <w:rFonts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32"/>
          <w:szCs w:val="32"/>
        </w:rPr>
        <w:t xml:space="preserve">                           </w:t>
      </w:r>
      <w:bookmarkStart w:id="4" w:name="PO_7_QianFaShiJian"/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2024</w:t>
      </w:r>
      <w:r>
        <w:rPr>
          <w:rFonts w:eastAsia="仿宋_GB2312"/>
          <w:color w:val="auto"/>
          <w:kern w:val="0"/>
          <w:sz w:val="32"/>
          <w:szCs w:val="32"/>
        </w:rPr>
        <w:t>年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eastAsia="仿宋_GB2312"/>
          <w:color w:val="auto"/>
          <w:kern w:val="0"/>
          <w:sz w:val="32"/>
          <w:szCs w:val="32"/>
        </w:rPr>
        <w:t>月</w:t>
      </w:r>
      <w:bookmarkEnd w:id="4"/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eastAsia="仿宋_GB2312"/>
          <w:color w:val="auto"/>
          <w:kern w:val="0"/>
          <w:sz w:val="32"/>
          <w:szCs w:val="32"/>
        </w:rPr>
        <w:t>日</w:t>
      </w: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auto"/>
          <w:kern w:val="0"/>
          <w:sz w:val="28"/>
          <w:szCs w:val="28"/>
        </w:rPr>
      </w:pPr>
      <w:bookmarkStart w:id="5" w:name="_GoBack"/>
      <w:bookmarkEnd w:id="5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sz w:val="24"/>
        <w:szCs w:val="24"/>
      </w:rPr>
      <w:t>4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zJmNjhiNmQ3NzBlZjlkYjliZmEyZTc3YWI4YjAifQ=="/>
  </w:docVars>
  <w:rsids>
    <w:rsidRoot w:val="6E303A87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3BE50B2"/>
    <w:rsid w:val="0BC97030"/>
    <w:rsid w:val="0DE05630"/>
    <w:rsid w:val="16FD0578"/>
    <w:rsid w:val="1BAF0A67"/>
    <w:rsid w:val="23D96EAA"/>
    <w:rsid w:val="24F15196"/>
    <w:rsid w:val="2A1A666F"/>
    <w:rsid w:val="2B946F65"/>
    <w:rsid w:val="2D8321C2"/>
    <w:rsid w:val="2EE92518"/>
    <w:rsid w:val="3214796D"/>
    <w:rsid w:val="450F61CB"/>
    <w:rsid w:val="4A3E05CE"/>
    <w:rsid w:val="4A437691"/>
    <w:rsid w:val="4A8E0FBB"/>
    <w:rsid w:val="4BD91CDD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9737618"/>
    <w:rsid w:val="6C5A27B0"/>
    <w:rsid w:val="6E303A87"/>
    <w:rsid w:val="72330BA4"/>
    <w:rsid w:val="72CB1669"/>
    <w:rsid w:val="73744CD2"/>
    <w:rsid w:val="742B7C3A"/>
    <w:rsid w:val="76417A12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autoRedefine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4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autoRedefine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autoRedefine/>
    <w:qFormat/>
    <w:uiPriority w:val="99"/>
    <w:rPr>
      <w:kern w:val="2"/>
      <w:sz w:val="18"/>
      <w:szCs w:val="18"/>
    </w:rPr>
  </w:style>
  <w:style w:type="paragraph" w:customStyle="1" w:styleId="15">
    <w:name w:val="封皮"/>
    <w:basedOn w:val="1"/>
    <w:autoRedefine/>
    <w:qFormat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700;&#38754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1134</Words>
  <Characters>1241</Characters>
  <Lines>8</Lines>
  <Paragraphs>2</Paragraphs>
  <TotalTime>13</TotalTime>
  <ScaleCrop>false</ScaleCrop>
  <LinksUpToDate>false</LinksUpToDate>
  <CharactersWithSpaces>1372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2023-12-29T06:43:00Z</dcterms:created>
  <dc:creator>何敏</dc:creator>
  <cp:lastModifiedBy>何敏</cp:lastModifiedBy>
  <cp:lastPrinted>2024-01-11T02:31:00Z</cp:lastPrinted>
  <dcterms:modified xsi:type="dcterms:W3CDTF">2024-01-11T07:49:40Z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053C69E722164FD7A0ABA080DF3AB8D0_13</vt:lpwstr>
  </property>
</Properties>
</file>