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265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天津市静海区同利源加油站有限公司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911202231041790091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000000"/>
          <w:sz w:val="32"/>
          <w:szCs w:val="32"/>
        </w:rPr>
        <w:t>天津市静海区陈官屯镇104国道东侧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史建山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我局于20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日对你单位进行了调查，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你单位正常营业。天津市生态环境保护综合行政执法总队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委托天津市生态环境监测中心对你单位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把加油枪的气液比进行监测，并出具《监测报告》〔津环监（监）7-2310024-22号〕。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经调查，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《监测报告》〔津环监（监）7-2310024-22号〕显示：你单位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号加油机的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#加油枪气液比为0.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8，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不符合《加油站大气污染物排放标准》（GB20952-2020）中“5.3各种加油油气回收系统的气液比均应在大于等于1.0和小于等于1.2范围内”的规定。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《加油站大气污染物排放标准》（GB20952-2020）、《监测报告》</w:t>
      </w:r>
      <w:bookmarkEnd w:id="3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〔津环监（监）7-2310024-22号〕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、现场拍摄的视频以及营业执照复印件等证据为凭。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你单位上述行为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违反了《中华人民共和国大气污染防治法》第四十七条第二款的规定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，属于未按照国家有关规定正常使用油气回收装置的违法行为，</w:t>
      </w:r>
      <w:r>
        <w:rPr>
          <w:rFonts w:eastAsia="仿宋_GB2312"/>
          <w:color w:val="auto"/>
          <w:kern w:val="0"/>
          <w:sz w:val="32"/>
          <w:szCs w:val="32"/>
        </w:rPr>
        <w:t xml:space="preserve">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220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1.企业对此次检查非常重视，对相关设备及时进行维修调试，并请第三方检测，并提供了检测合格的检测报告。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2.受大环境影响，企业经营困难，处于亏损状态，申请减免处罚。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220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采纳你单位提交的陈述申辩意见，依据《中华人民共和国行政处罚法》第三十二条第一项的规定，对你单位从轻处罚。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bookmarkStart w:id="5" w:name="_GoBack"/>
      <w:bookmarkEnd w:id="5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《中华人民共和国大气污染防治法》第一百零八条第四项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你单位应按照国家有关规定安装油气回收装置并保持正常使用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61CC44C9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9C07B0E"/>
    <w:rsid w:val="0BC97030"/>
    <w:rsid w:val="0DE05630"/>
    <w:rsid w:val="0EA875E2"/>
    <w:rsid w:val="1102317C"/>
    <w:rsid w:val="15C506C8"/>
    <w:rsid w:val="16FD0578"/>
    <w:rsid w:val="23D96EAA"/>
    <w:rsid w:val="296E1867"/>
    <w:rsid w:val="2A1A666F"/>
    <w:rsid w:val="2B946F65"/>
    <w:rsid w:val="2D741B52"/>
    <w:rsid w:val="2D8321C2"/>
    <w:rsid w:val="2EE92518"/>
    <w:rsid w:val="3214796D"/>
    <w:rsid w:val="346B7613"/>
    <w:rsid w:val="450F61CB"/>
    <w:rsid w:val="4A3E05CE"/>
    <w:rsid w:val="4A437691"/>
    <w:rsid w:val="4BD91CDD"/>
    <w:rsid w:val="502F15FB"/>
    <w:rsid w:val="503F23C3"/>
    <w:rsid w:val="517C5CFB"/>
    <w:rsid w:val="51935037"/>
    <w:rsid w:val="553A03CB"/>
    <w:rsid w:val="55C952FD"/>
    <w:rsid w:val="58763D60"/>
    <w:rsid w:val="5BDF2ED1"/>
    <w:rsid w:val="5F7C4535"/>
    <w:rsid w:val="61CC44C9"/>
    <w:rsid w:val="624F5E3E"/>
    <w:rsid w:val="6404560A"/>
    <w:rsid w:val="64F75746"/>
    <w:rsid w:val="6694755E"/>
    <w:rsid w:val="66B216B2"/>
    <w:rsid w:val="679D04BA"/>
    <w:rsid w:val="6851522E"/>
    <w:rsid w:val="6C5A27B0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1476</Words>
  <Characters>1635</Characters>
  <Lines>8</Lines>
  <Paragraphs>2</Paragraphs>
  <TotalTime>5</TotalTime>
  <ScaleCrop>false</ScaleCrop>
  <LinksUpToDate>false</LinksUpToDate>
  <CharactersWithSpaces>1764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2023-08-18T02:37:00Z</dcterms:created>
  <dc:creator>何敏</dc:creator>
  <cp:lastModifiedBy>何敏</cp:lastModifiedBy>
  <cp:lastPrinted>2023-12-28T08:08:00Z</cp:lastPrinted>
  <dcterms:modified xsi:type="dcterms:W3CDTF">2024-01-02T07:20:23Z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BBB008CCD6A24695B9BA27A805B313EE_13</vt:lpwstr>
  </property>
</Properties>
</file>