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760" w:lineRule="exact"/>
        <w:ind w:right="-23"/>
        <w:jc w:val="center"/>
        <w:textAlignment w:val="auto"/>
        <w:rPr>
          <w:rFonts w:eastAsia="方正小标宋简体"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</w:pPr>
      <w:bookmarkStart w:id="0" w:name="PO_2_DanWeiMingCheng"/>
      <w:bookmarkStart w:id="1" w:name="PO_2_ChuFaAnZi"/>
      <w:r>
        <w:rPr>
          <w:rFonts w:eastAsia="方正小标宋简体"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  <w:t>天津市生态环境局</w:t>
      </w:r>
      <w:bookmarkEnd w:id="0"/>
    </w:p>
    <w:p>
      <w:pPr>
        <w:keepNext w:val="0"/>
        <w:keepLines w:val="0"/>
        <w:pageBreakBefore w:val="0"/>
        <w:widowControl w:val="0"/>
        <w:tabs>
          <w:tab w:val="left" w:pos="460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760" w:lineRule="exact"/>
        <w:ind w:right="-119"/>
        <w:jc w:val="center"/>
        <w:textAlignment w:val="auto"/>
        <w:rPr>
          <w:rFonts w:eastAsia="方正小标宋简体"/>
          <w:color w:val="000000" w:themeColor="text1"/>
          <w:spacing w:val="1"/>
          <w:kern w:val="0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eastAsia="方正小标宋简体"/>
          <w:color w:val="000000" w:themeColor="text1"/>
          <w:spacing w:val="1"/>
          <w:kern w:val="0"/>
          <w:sz w:val="44"/>
          <w:szCs w:val="44"/>
          <w14:textFill>
            <w14:solidFill>
              <w14:schemeClr w14:val="tx1"/>
            </w14:solidFill>
          </w14:textFill>
        </w:rPr>
        <w:t>行政处</w:t>
      </w:r>
      <w:r>
        <w:rPr>
          <w:rFonts w:eastAsia="方正小标宋简体"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  <w:t>罚决</w:t>
      </w:r>
      <w:r>
        <w:rPr>
          <w:rFonts w:eastAsia="方正小标宋简体"/>
          <w:color w:val="000000" w:themeColor="text1"/>
          <w:spacing w:val="1"/>
          <w:kern w:val="0"/>
          <w:sz w:val="44"/>
          <w:szCs w:val="44"/>
          <w14:textFill>
            <w14:solidFill>
              <w14:schemeClr w14:val="tx1"/>
            </w14:solidFill>
          </w14:textFill>
        </w:rPr>
        <w:t>定书</w:t>
      </w:r>
    </w:p>
    <w:p>
      <w:pPr>
        <w:keepNext w:val="0"/>
        <w:keepLines w:val="0"/>
        <w:pageBreakBefore w:val="0"/>
        <w:widowControl w:val="0"/>
        <w:tabs>
          <w:tab w:val="left" w:pos="460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right="-119"/>
        <w:jc w:val="both"/>
        <w:textAlignment w:val="auto"/>
        <w:rPr>
          <w:rFonts w:eastAsia="仿宋_GB2312"/>
          <w:color w:val="000000" w:themeColor="text1"/>
          <w:spacing w:val="1"/>
          <w:kern w:val="0"/>
          <w:position w:val="-2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tabs>
          <w:tab w:val="left" w:pos="460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right="-119"/>
        <w:jc w:val="center"/>
        <w:textAlignment w:val="auto"/>
        <w:rPr>
          <w:rFonts w:eastAsia="仿宋_GB2312"/>
          <w:color w:val="000000" w:themeColor="text1"/>
          <w:kern w:val="0"/>
          <w:position w:val="-2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eastAsia="仿宋_GB2312"/>
          <w:color w:val="000000" w:themeColor="text1"/>
          <w:spacing w:val="1"/>
          <w:kern w:val="0"/>
          <w:position w:val="-2"/>
          <w:sz w:val="32"/>
          <w:szCs w:val="32"/>
          <w14:textFill>
            <w14:solidFill>
              <w14:schemeClr w14:val="tx1"/>
            </w14:solidFill>
          </w14:textFill>
        </w:rPr>
        <w:t>津市</w:t>
      </w:r>
      <w:bookmarkEnd w:id="1"/>
      <w:r>
        <w:rPr>
          <w:rFonts w:eastAsia="仿宋_GB2312"/>
          <w:color w:val="000000" w:themeColor="text1"/>
          <w:spacing w:val="1"/>
          <w:kern w:val="0"/>
          <w:position w:val="-2"/>
          <w:sz w:val="32"/>
          <w:szCs w:val="32"/>
          <w14:textFill>
            <w14:solidFill>
              <w14:schemeClr w14:val="tx1"/>
            </w14:solidFill>
          </w14:textFill>
        </w:rPr>
        <w:t>环罚字</w:t>
      </w:r>
      <w:bookmarkStart w:id="2" w:name="PO_7_NianDuBianHao"/>
      <w:r>
        <w:rPr>
          <w:rFonts w:eastAsia="仿宋_GB2312"/>
          <w:color w:val="000000" w:themeColor="text1"/>
          <w:kern w:val="0"/>
          <w:position w:val="-2"/>
          <w:sz w:val="32"/>
          <w:szCs w:val="32"/>
          <w14:textFill>
            <w14:solidFill>
              <w14:schemeClr w14:val="tx1"/>
            </w14:solidFill>
          </w14:textFill>
        </w:rPr>
        <w:t>〔20</w:t>
      </w:r>
      <w:bookmarkEnd w:id="2"/>
      <w:r>
        <w:rPr>
          <w:rFonts w:hint="eastAsia" w:eastAsia="仿宋_GB2312"/>
          <w:color w:val="000000" w:themeColor="text1"/>
          <w:kern w:val="0"/>
          <w:position w:val="-2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23</w:t>
      </w:r>
      <w:r>
        <w:rPr>
          <w:rFonts w:eastAsia="仿宋_GB2312"/>
          <w:color w:val="000000" w:themeColor="text1"/>
          <w:kern w:val="0"/>
          <w:position w:val="-2"/>
          <w:sz w:val="32"/>
          <w:szCs w:val="32"/>
          <w14:textFill>
            <w14:solidFill>
              <w14:schemeClr w14:val="tx1"/>
            </w14:solidFill>
          </w14:textFill>
        </w:rPr>
        <w:t>〕</w:t>
      </w:r>
      <w:r>
        <w:rPr>
          <w:rFonts w:hint="eastAsia" w:eastAsia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237</w:t>
      </w:r>
      <w:r>
        <w:rPr>
          <w:rFonts w:eastAsia="仿宋_GB2312"/>
          <w:color w:val="000000" w:themeColor="text1"/>
          <w:kern w:val="0"/>
          <w:position w:val="-2"/>
          <w:sz w:val="32"/>
          <w:szCs w:val="32"/>
          <w14:textFill>
            <w14:solidFill>
              <w14:schemeClr w14:val="tx1"/>
            </w14:solidFill>
          </w14:textFill>
        </w:rPr>
        <w:t>号</w:t>
      </w:r>
    </w:p>
    <w:p>
      <w:pPr>
        <w:keepNext w:val="0"/>
        <w:keepLines w:val="0"/>
        <w:pageBreakBefore w:val="0"/>
        <w:widowControl w:val="0"/>
        <w:tabs>
          <w:tab w:val="left" w:pos="460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right="-119"/>
        <w:jc w:val="center"/>
        <w:textAlignment w:val="auto"/>
        <w:rPr>
          <w:rFonts w:eastAsia="仿宋_GB2312"/>
          <w:color w:val="000000" w:themeColor="text1"/>
          <w:kern w:val="0"/>
          <w:position w:val="-2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tabs>
          <w:tab w:val="left" w:pos="520"/>
          <w:tab w:val="left" w:pos="1880"/>
          <w:tab w:val="left" w:pos="2940"/>
          <w:tab w:val="left" w:pos="5360"/>
          <w:tab w:val="left" w:pos="5980"/>
          <w:tab w:val="left" w:pos="6300"/>
          <w:tab w:val="left" w:pos="6400"/>
          <w:tab w:val="left" w:pos="8940"/>
        </w:tabs>
        <w:autoSpaceDE w:val="0"/>
        <w:autoSpaceDN w:val="0"/>
        <w:adjustRightInd w:val="0"/>
        <w:snapToGrid w:val="0"/>
        <w:spacing w:line="360" w:lineRule="auto"/>
        <w:jc w:val="left"/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天津市鹏富无缝钢管有限公司</w:t>
      </w:r>
      <w:r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：</w:t>
      </w:r>
    </w:p>
    <w:p>
      <w:pPr>
        <w:tabs>
          <w:tab w:val="left" w:pos="520"/>
          <w:tab w:val="left" w:pos="1880"/>
          <w:tab w:val="left" w:pos="2940"/>
          <w:tab w:val="left" w:pos="6565"/>
          <w:tab w:val="left" w:pos="6640"/>
          <w:tab w:val="left" w:pos="8940"/>
        </w:tabs>
        <w:autoSpaceDE w:val="0"/>
        <w:autoSpaceDN w:val="0"/>
        <w:adjustRightInd w:val="0"/>
        <w:snapToGrid w:val="0"/>
        <w:spacing w:line="360" w:lineRule="auto"/>
        <w:jc w:val="left"/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统一社会信用代码：</w:t>
      </w:r>
      <w:r>
        <w:rPr>
          <w:rFonts w:hint="eastAsia" w:eastAsia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91120112777331079N</w:t>
      </w:r>
    </w:p>
    <w:p>
      <w:pPr>
        <w:tabs>
          <w:tab w:val="left" w:pos="520"/>
          <w:tab w:val="left" w:pos="1880"/>
          <w:tab w:val="left" w:pos="2940"/>
          <w:tab w:val="left" w:pos="6565"/>
          <w:tab w:val="left" w:pos="6640"/>
          <w:tab w:val="left" w:pos="8940"/>
        </w:tabs>
        <w:autoSpaceDE w:val="0"/>
        <w:autoSpaceDN w:val="0"/>
        <w:adjustRightInd w:val="0"/>
        <w:snapToGrid w:val="0"/>
        <w:spacing w:line="360" w:lineRule="auto"/>
        <w:jc w:val="left"/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地址：</w:t>
      </w:r>
      <w:r>
        <w:rPr>
          <w:rFonts w:hint="eastAsia" w:eastAsia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天津市津南区小站镇黄台工业园嘉园道5号</w:t>
      </w:r>
    </w:p>
    <w:p>
      <w:pPr>
        <w:tabs>
          <w:tab w:val="left" w:pos="520"/>
          <w:tab w:val="left" w:pos="1880"/>
          <w:tab w:val="left" w:pos="2940"/>
          <w:tab w:val="left" w:pos="6565"/>
          <w:tab w:val="left" w:pos="6640"/>
          <w:tab w:val="left" w:pos="8940"/>
        </w:tabs>
        <w:autoSpaceDE w:val="0"/>
        <w:autoSpaceDN w:val="0"/>
        <w:adjustRightInd w:val="0"/>
        <w:snapToGrid w:val="0"/>
        <w:spacing w:line="360" w:lineRule="auto"/>
        <w:jc w:val="left"/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法定代表人：</w:t>
      </w:r>
      <w:r>
        <w:rPr>
          <w:rFonts w:hint="eastAsia" w:eastAsia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孙年忠</w:t>
      </w:r>
    </w:p>
    <w:p>
      <w:pPr>
        <w:tabs>
          <w:tab w:val="left" w:pos="520"/>
          <w:tab w:val="left" w:pos="1880"/>
          <w:tab w:val="left" w:pos="3040"/>
          <w:tab w:val="left" w:pos="5460"/>
          <w:tab w:val="left" w:pos="5980"/>
          <w:tab w:val="left" w:pos="6300"/>
          <w:tab w:val="left" w:pos="6820"/>
          <w:tab w:val="left" w:pos="8940"/>
        </w:tabs>
        <w:autoSpaceDE w:val="0"/>
        <w:autoSpaceDN w:val="0"/>
        <w:adjustRightInd w:val="0"/>
        <w:snapToGrid w:val="0"/>
        <w:spacing w:line="360" w:lineRule="auto"/>
        <w:jc w:val="left"/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    你单位环境违法</w:t>
      </w:r>
      <w:r>
        <w:rPr>
          <w:rFonts w:eastAsia="仿宋_GB2312"/>
          <w:color w:val="000000" w:themeColor="text1"/>
          <w:kern w:val="0"/>
          <w:position w:val="-2"/>
          <w:sz w:val="32"/>
          <w:szCs w:val="32"/>
          <w14:textFill>
            <w14:solidFill>
              <w14:schemeClr w14:val="tx1"/>
            </w14:solidFill>
          </w14:textFill>
        </w:rPr>
        <w:t>一案，我局经调查，现已审查终结。</w:t>
      </w:r>
    </w:p>
    <w:p>
      <w:pPr>
        <w:tabs>
          <w:tab w:val="left" w:pos="520"/>
          <w:tab w:val="left" w:pos="1880"/>
          <w:tab w:val="left" w:pos="3040"/>
          <w:tab w:val="left" w:pos="5460"/>
          <w:tab w:val="left" w:pos="5980"/>
          <w:tab w:val="left" w:pos="6300"/>
          <w:tab w:val="left" w:pos="6820"/>
          <w:tab w:val="left" w:pos="8940"/>
        </w:tabs>
        <w:autoSpaceDE w:val="0"/>
        <w:autoSpaceDN w:val="0"/>
        <w:adjustRightInd w:val="0"/>
        <w:snapToGrid w:val="0"/>
        <w:spacing w:line="360" w:lineRule="auto"/>
        <w:ind w:firstLine="640" w:firstLineChars="200"/>
        <w:jc w:val="left"/>
        <w:rPr>
          <w:rFonts w:eastAsia="黑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eastAsia="黑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一、调查情况及发现的环境违法事实、证据和陈述申辩（听证）及采纳情况</w:t>
      </w:r>
    </w:p>
    <w:p>
      <w:pPr>
        <w:tabs>
          <w:tab w:val="left" w:pos="8940"/>
        </w:tabs>
        <w:autoSpaceDE w:val="0"/>
        <w:autoSpaceDN w:val="0"/>
        <w:adjustRightInd w:val="0"/>
        <w:snapToGrid w:val="0"/>
        <w:spacing w:line="360" w:lineRule="auto"/>
        <w:ind w:firstLine="640" w:firstLineChars="200"/>
        <w:rPr>
          <w:rFonts w:hint="eastAsia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我局于20</w:t>
      </w:r>
      <w:r>
        <w:rPr>
          <w:rFonts w:hint="eastAsia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23</w:t>
      </w: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</w:t>
      </w:r>
      <w:r>
        <w:rPr>
          <w:rFonts w:hint="eastAsia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9</w:t>
      </w: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月</w:t>
      </w:r>
      <w:r>
        <w:rPr>
          <w:rFonts w:hint="eastAsia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11</w:t>
      </w: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日对你单位进行了调查</w:t>
      </w:r>
      <w:r>
        <w:rPr>
          <w:rFonts w:hint="eastAsia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  <w:r>
        <w:rPr>
          <w:rFonts w:hint="eastAsia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参考你单位</w:t>
      </w:r>
      <w:r>
        <w:rPr>
          <w:rFonts w:hint="eastAsia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《天津市鹏富无缝钢管有限公司现状环境影响评估报告》，</w:t>
      </w:r>
      <w:r>
        <w:rPr>
          <w:rFonts w:hint="eastAsia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你</w:t>
      </w:r>
      <w:r>
        <w:rPr>
          <w:rFonts w:hint="eastAsia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单位需对酸洗车间产生的硫酸废气采取集中收集后进行处理。通过侧墙设置</w:t>
      </w:r>
      <w:r>
        <w:rPr>
          <w:rFonts w:hint="eastAsia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吸</w:t>
      </w:r>
      <w:r>
        <w:rPr>
          <w:rFonts w:hint="eastAsia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风口，风机将车间内硫酸废气集中收集后经过酸雾洗涤塔处理，最后经15m高排气筒排放。酸雾洗涤塔配套设置循环水池，水中加入烧碱，用以酸碱中和去除废气中的硫酸。</w:t>
      </w:r>
    </w:p>
    <w:p>
      <w:pPr>
        <w:tabs>
          <w:tab w:val="left" w:pos="8940"/>
        </w:tabs>
        <w:autoSpaceDE w:val="0"/>
        <w:autoSpaceDN w:val="0"/>
        <w:adjustRightInd w:val="0"/>
        <w:snapToGrid w:val="0"/>
        <w:spacing w:line="360" w:lineRule="auto"/>
        <w:ind w:firstLine="640" w:firstLineChars="200"/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经调查，</w:t>
      </w: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发现你单位实施了以下环境违法行为：</w:t>
      </w:r>
    </w:p>
    <w:p>
      <w:pPr>
        <w:tabs>
          <w:tab w:val="left" w:pos="8940"/>
        </w:tabs>
        <w:autoSpaceDE w:val="0"/>
        <w:autoSpaceDN w:val="0"/>
        <w:adjustRightInd w:val="0"/>
        <w:snapToGrid w:val="0"/>
        <w:spacing w:line="360" w:lineRule="auto"/>
        <w:ind w:firstLine="640" w:firstLineChars="200"/>
        <w:rPr>
          <w:rFonts w:hint="eastAsia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现场检查当日，你单位酸洗车间正在生产，配套的酸雾洗涤塔设备风机正在运行，但是酸雾洗涤塔内循环泵未开启，无法中和酸洗车间产生的硫酸废气。你单位属于未按照规定使用大气污染防治设施。</w:t>
      </w:r>
    </w:p>
    <w:p>
      <w:pPr>
        <w:tabs>
          <w:tab w:val="left" w:pos="8940"/>
        </w:tabs>
        <w:autoSpaceDE w:val="0"/>
        <w:autoSpaceDN w:val="0"/>
        <w:adjustRightInd w:val="0"/>
        <w:snapToGrid w:val="0"/>
        <w:spacing w:line="360" w:lineRule="auto"/>
        <w:ind w:firstLine="640" w:firstLineChars="200"/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以上事实，有</w:t>
      </w:r>
      <w:bookmarkStart w:id="3" w:name="PO_4_ShiShiZhengJu"/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《天津市生态环境局现场检查（勘察）笔录》《天津市生态环境局调查询问笔录》《天津市鹏富无缝钢管有限公司现状环境影响评估报告》、现场拍摄的视频以及营业执照复印件</w:t>
      </w:r>
      <w:bookmarkEnd w:id="3"/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等证据为凭。</w:t>
      </w:r>
    </w:p>
    <w:p>
      <w:pPr>
        <w:tabs>
          <w:tab w:val="left" w:pos="8940"/>
        </w:tabs>
        <w:autoSpaceDE w:val="0"/>
        <w:autoSpaceDN w:val="0"/>
        <w:adjustRightInd w:val="0"/>
        <w:snapToGrid w:val="0"/>
        <w:spacing w:line="360" w:lineRule="auto"/>
        <w:ind w:firstLine="640" w:firstLineChars="200"/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你单位上述行为违反了</w:t>
      </w:r>
      <w:r>
        <w:rPr>
          <w:rFonts w:hint="eastAsia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《天津市大气污染防治条例》第十九条第一款</w:t>
      </w:r>
      <w:r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的规定</w:t>
      </w:r>
      <w:r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，依法应当予以处罚。 </w:t>
      </w:r>
    </w:p>
    <w:p>
      <w:pPr>
        <w:tabs>
          <w:tab w:val="left" w:pos="1260"/>
          <w:tab w:val="left" w:pos="1880"/>
          <w:tab w:val="left" w:pos="2420"/>
          <w:tab w:val="left" w:pos="3040"/>
          <w:tab w:val="left" w:pos="7895"/>
          <w:tab w:val="left" w:pos="8940"/>
        </w:tabs>
        <w:autoSpaceDE w:val="0"/>
        <w:autoSpaceDN w:val="0"/>
        <w:adjustRightInd w:val="0"/>
        <w:snapToGrid w:val="0"/>
        <w:spacing w:line="360" w:lineRule="auto"/>
        <w:ind w:firstLine="640" w:firstLineChars="200"/>
        <w:rPr>
          <w:rFonts w:hint="eastAsia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我局于20</w:t>
      </w:r>
      <w:r>
        <w:rPr>
          <w:rFonts w:hint="eastAsia" w:eastAsia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23</w:t>
      </w:r>
      <w:r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年</w:t>
      </w:r>
      <w:r>
        <w:rPr>
          <w:rFonts w:hint="eastAsia" w:eastAsia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10</w:t>
      </w:r>
      <w:r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月</w:t>
      </w:r>
      <w:r>
        <w:rPr>
          <w:rFonts w:hint="eastAsia" w:eastAsia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20</w:t>
      </w:r>
      <w:r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日以《天津市生态环境局行政</w:t>
      </w:r>
      <w:r>
        <w:rPr>
          <w:rFonts w:hint="eastAsia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处罚事先</w:t>
      </w:r>
      <w:r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告知书》（津市环</w:t>
      </w:r>
      <w:r>
        <w:rPr>
          <w:rFonts w:hint="eastAsia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事</w:t>
      </w:r>
      <w:r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告字〔20</w:t>
      </w:r>
      <w:r>
        <w:rPr>
          <w:rFonts w:hint="eastAsia" w:eastAsia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23</w:t>
      </w:r>
      <w:r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〕</w:t>
      </w:r>
      <w:r>
        <w:rPr>
          <w:rFonts w:hint="eastAsia" w:eastAsia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175</w:t>
      </w:r>
      <w:r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号），告知你单位违法事实、处罚依据和拟作出的处罚决定，并明确告知你单位有权</w:t>
      </w:r>
      <w:r>
        <w:rPr>
          <w:rFonts w:hint="eastAsia" w:eastAsia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提出</w:t>
      </w:r>
      <w:r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陈述</w:t>
      </w:r>
      <w:r>
        <w:rPr>
          <w:rFonts w:hint="eastAsia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、申辩</w:t>
      </w:r>
      <w:r>
        <w:rPr>
          <w:rFonts w:hint="eastAsia" w:eastAsia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意见</w:t>
      </w:r>
      <w:r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。</w:t>
      </w:r>
      <w:r>
        <w:rPr>
          <w:rFonts w:hint="eastAsia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我局于20</w:t>
      </w:r>
      <w:r>
        <w:rPr>
          <w:rFonts w:hint="eastAsia" w:eastAsia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23</w:t>
      </w:r>
      <w:r>
        <w:rPr>
          <w:rFonts w:hint="eastAsia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年</w:t>
      </w:r>
      <w:r>
        <w:rPr>
          <w:rFonts w:hint="eastAsia" w:eastAsia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10</w:t>
      </w:r>
      <w:r>
        <w:rPr>
          <w:rFonts w:hint="eastAsia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月</w:t>
      </w:r>
      <w:r>
        <w:rPr>
          <w:rFonts w:hint="eastAsia" w:eastAsia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26</w:t>
      </w:r>
      <w:r>
        <w:rPr>
          <w:rFonts w:hint="eastAsia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日向你单位送达上述文件，你单位于当日签收。</w:t>
      </w:r>
    </w:p>
    <w:p>
      <w:pPr>
        <w:tabs>
          <w:tab w:val="left" w:pos="1260"/>
          <w:tab w:val="left" w:pos="1880"/>
          <w:tab w:val="left" w:pos="2420"/>
          <w:tab w:val="left" w:pos="3040"/>
          <w:tab w:val="left" w:pos="7895"/>
          <w:tab w:val="left" w:pos="8940"/>
        </w:tabs>
        <w:autoSpaceDE w:val="0"/>
        <w:autoSpaceDN w:val="0"/>
        <w:adjustRightInd w:val="0"/>
        <w:snapToGrid w:val="0"/>
        <w:spacing w:line="360" w:lineRule="auto"/>
        <w:ind w:firstLine="640" w:firstLineChars="200"/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20</w:t>
      </w:r>
      <w:r>
        <w:rPr>
          <w:rFonts w:hint="eastAsia" w:eastAsia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23</w:t>
      </w:r>
      <w:r>
        <w:rPr>
          <w:rFonts w:hint="eastAsia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年</w:t>
      </w:r>
      <w:r>
        <w:rPr>
          <w:rFonts w:hint="eastAsia" w:eastAsia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11</w:t>
      </w:r>
      <w:r>
        <w:rPr>
          <w:rFonts w:hint="eastAsia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月</w:t>
      </w:r>
      <w:r>
        <w:rPr>
          <w:rFonts w:hint="eastAsia" w:eastAsia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日，你单位向我局</w:t>
      </w:r>
      <w:r>
        <w:rPr>
          <w:rFonts w:hint="eastAsia" w:eastAsia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提出</w:t>
      </w:r>
      <w:r>
        <w:rPr>
          <w:rFonts w:hint="eastAsia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陈述申辩意见如下：</w:t>
      </w:r>
    </w:p>
    <w:p>
      <w:pPr>
        <w:tabs>
          <w:tab w:val="left" w:pos="1260"/>
          <w:tab w:val="left" w:pos="1880"/>
          <w:tab w:val="left" w:pos="2420"/>
          <w:tab w:val="left" w:pos="3040"/>
          <w:tab w:val="left" w:pos="7895"/>
          <w:tab w:val="left" w:pos="8940"/>
        </w:tabs>
        <w:autoSpaceDE w:val="0"/>
        <w:autoSpaceDN w:val="0"/>
        <w:adjustRightInd w:val="0"/>
        <w:snapToGrid w:val="0"/>
        <w:spacing w:line="360" w:lineRule="auto"/>
        <w:ind w:firstLine="640" w:firstLineChars="200"/>
        <w:rPr>
          <w:rFonts w:hint="eastAsia" w:eastAsia="仿宋_GB2312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1</w:t>
      </w:r>
      <w:r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.</w:t>
      </w:r>
      <w:r>
        <w:rPr>
          <w:rFonts w:hint="eastAsia" w:eastAsia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本次违法为工人疏忽造成的，已及时完成了整改，内部加强了培训；</w:t>
      </w:r>
    </w:p>
    <w:p>
      <w:pPr>
        <w:tabs>
          <w:tab w:val="left" w:pos="1260"/>
          <w:tab w:val="left" w:pos="1880"/>
          <w:tab w:val="left" w:pos="2420"/>
          <w:tab w:val="left" w:pos="3040"/>
          <w:tab w:val="left" w:pos="7895"/>
          <w:tab w:val="left" w:pos="8940"/>
        </w:tabs>
        <w:autoSpaceDE w:val="0"/>
        <w:autoSpaceDN w:val="0"/>
        <w:adjustRightInd w:val="0"/>
        <w:snapToGrid w:val="0"/>
        <w:spacing w:line="360" w:lineRule="auto"/>
        <w:ind w:firstLine="640" w:firstLineChars="200"/>
        <w:rPr>
          <w:rFonts w:hint="eastAsia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2.</w:t>
      </w:r>
      <w:r>
        <w:rPr>
          <w:rFonts w:hint="eastAsia" w:eastAsia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新冠肺炎疫情三年来我单位一直处于生产经营困难的状态，希望给予改正机会，</w:t>
      </w:r>
      <w:bookmarkStart w:id="8" w:name="_GoBack"/>
      <w:bookmarkEnd w:id="8"/>
      <w:r>
        <w:rPr>
          <w:rFonts w:hint="eastAsia" w:eastAsia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申请从轻处罚。</w:t>
      </w:r>
    </w:p>
    <w:p>
      <w:pPr>
        <w:tabs>
          <w:tab w:val="left" w:pos="1260"/>
          <w:tab w:val="left" w:pos="1880"/>
          <w:tab w:val="left" w:pos="2420"/>
          <w:tab w:val="left" w:pos="3040"/>
          <w:tab w:val="left" w:pos="7560"/>
          <w:tab w:val="left" w:pos="8940"/>
        </w:tabs>
        <w:autoSpaceDE w:val="0"/>
        <w:autoSpaceDN w:val="0"/>
        <w:adjustRightInd w:val="0"/>
        <w:snapToGrid w:val="0"/>
        <w:spacing w:line="360" w:lineRule="auto"/>
        <w:ind w:firstLine="640" w:firstLineChars="200"/>
        <w:jc w:val="left"/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以上事实，有《天津市生态环境局行政处罚</w:t>
      </w:r>
      <w:r>
        <w:rPr>
          <w:rFonts w:hint="eastAsia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事先</w:t>
      </w:r>
      <w:r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告知书》（津市环</w:t>
      </w:r>
      <w:r>
        <w:rPr>
          <w:rFonts w:hint="eastAsia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事</w:t>
      </w:r>
      <w:r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告字〔20</w:t>
      </w:r>
      <w:r>
        <w:rPr>
          <w:rFonts w:hint="eastAsia" w:eastAsia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23</w:t>
      </w:r>
      <w:r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〕</w:t>
      </w:r>
      <w:r>
        <w:rPr>
          <w:rFonts w:hint="eastAsia" w:eastAsia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175</w:t>
      </w:r>
      <w:r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号）</w:t>
      </w:r>
      <w:r>
        <w:rPr>
          <w:rFonts w:hint="eastAsia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及</w:t>
      </w:r>
      <w:r>
        <w:rPr>
          <w:rFonts w:hint="eastAsia" w:eastAsia="仿宋_GB2312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其</w:t>
      </w:r>
      <w:r>
        <w:rPr>
          <w:rFonts w:hint="eastAsia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送达回证、</w:t>
      </w:r>
      <w:r>
        <w:rPr>
          <w:rFonts w:hint="eastAsia" w:eastAsia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你单位提出的</w:t>
      </w:r>
      <w:r>
        <w:rPr>
          <w:rFonts w:hint="eastAsia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陈述申辩材料</w:t>
      </w:r>
      <w:r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等证据为凭。  </w:t>
      </w:r>
    </w:p>
    <w:p>
      <w:pPr>
        <w:tabs>
          <w:tab w:val="left" w:pos="1260"/>
          <w:tab w:val="left" w:pos="1880"/>
          <w:tab w:val="left" w:pos="2420"/>
          <w:tab w:val="left" w:pos="3040"/>
          <w:tab w:val="left" w:pos="7560"/>
          <w:tab w:val="left" w:pos="8940"/>
        </w:tabs>
        <w:autoSpaceDE w:val="0"/>
        <w:autoSpaceDN w:val="0"/>
        <w:adjustRightInd w:val="0"/>
        <w:snapToGrid w:val="0"/>
        <w:spacing w:line="360" w:lineRule="auto"/>
        <w:ind w:firstLine="640" w:firstLineChars="200"/>
        <w:jc w:val="left"/>
        <w:rPr>
          <w:rFonts w:hint="eastAsia" w:eastAsia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经</w:t>
      </w:r>
      <w:r>
        <w:rPr>
          <w:rFonts w:hint="eastAsia" w:eastAsia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集体审议</w:t>
      </w:r>
      <w:r>
        <w:rPr>
          <w:rFonts w:hint="eastAsia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，</w:t>
      </w:r>
      <w:r>
        <w:rPr>
          <w:rFonts w:hint="eastAsia" w:eastAsia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本案违法事实清楚，近期我市重污染天气橙色预警期间，你单位再次出现未落实重污染天气应急响应措施等违法行为。不予采纳你单位陈述申辩意见。</w:t>
      </w:r>
    </w:p>
    <w:p>
      <w:pPr>
        <w:tabs>
          <w:tab w:val="left" w:pos="1260"/>
          <w:tab w:val="left" w:pos="1880"/>
          <w:tab w:val="left" w:pos="2420"/>
          <w:tab w:val="left" w:pos="3040"/>
          <w:tab w:val="left" w:pos="7560"/>
          <w:tab w:val="left" w:pos="8940"/>
        </w:tabs>
        <w:autoSpaceDE w:val="0"/>
        <w:autoSpaceDN w:val="0"/>
        <w:adjustRightInd w:val="0"/>
        <w:snapToGrid w:val="0"/>
        <w:spacing w:line="360" w:lineRule="auto"/>
        <w:ind w:firstLine="640" w:firstLineChars="200"/>
        <w:jc w:val="left"/>
        <w:rPr>
          <w:rFonts w:eastAsia="黑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eastAsia="黑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二、</w:t>
      </w:r>
      <w:r>
        <w:rPr>
          <w:rFonts w:hint="eastAsia" w:eastAsia="黑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责令改正和行政处罚的依据、种类</w:t>
      </w:r>
    </w:p>
    <w:p>
      <w:pPr>
        <w:tabs>
          <w:tab w:val="left" w:pos="8940"/>
        </w:tabs>
        <w:autoSpaceDE w:val="0"/>
        <w:autoSpaceDN w:val="0"/>
        <w:adjustRightInd w:val="0"/>
        <w:snapToGrid w:val="0"/>
        <w:spacing w:line="360" w:lineRule="auto"/>
        <w:ind w:firstLine="640" w:firstLineChars="200"/>
        <w:jc w:val="left"/>
        <w:rPr>
          <w:rFonts w:hint="eastAsia" w:eastAsia="仿宋_GB2312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依据</w:t>
      </w:r>
      <w:r>
        <w:rPr>
          <w:rFonts w:hint="eastAsia" w:eastAsia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《天津市大气污染防治条例》第七十七条第二项</w:t>
      </w:r>
      <w:r>
        <w:rPr>
          <w:rFonts w:hint="eastAsia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的</w:t>
      </w:r>
      <w:r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规定</w:t>
      </w:r>
      <w:r>
        <w:rPr>
          <w:rFonts w:hint="eastAsia" w:eastAsia="仿宋_GB2312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，我局：</w:t>
      </w:r>
    </w:p>
    <w:p>
      <w:pPr>
        <w:tabs>
          <w:tab w:val="left" w:pos="8940"/>
        </w:tabs>
        <w:autoSpaceDE w:val="0"/>
        <w:autoSpaceDN w:val="0"/>
        <w:adjustRightInd w:val="0"/>
        <w:snapToGrid w:val="0"/>
        <w:spacing w:line="360" w:lineRule="auto"/>
        <w:ind w:firstLine="640" w:firstLineChars="200"/>
        <w:jc w:val="left"/>
        <w:rPr>
          <w:rFonts w:hint="eastAsia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1.</w:t>
      </w:r>
      <w:r>
        <w:rPr>
          <w:rFonts w:hint="eastAsia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责令你单位停止违法行为，立即改正；</w:t>
      </w:r>
    </w:p>
    <w:p>
      <w:pPr>
        <w:tabs>
          <w:tab w:val="left" w:pos="8940"/>
        </w:tabs>
        <w:autoSpaceDE w:val="0"/>
        <w:autoSpaceDN w:val="0"/>
        <w:adjustRightInd w:val="0"/>
        <w:snapToGrid w:val="0"/>
        <w:spacing w:line="360" w:lineRule="auto"/>
        <w:ind w:firstLine="640" w:firstLineChars="200"/>
        <w:jc w:val="left"/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2</w:t>
      </w:r>
      <w:r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.</w:t>
      </w:r>
      <w:r>
        <w:rPr>
          <w:rFonts w:hint="eastAsia" w:eastAsia="仿宋_GB2312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对你单位</w:t>
      </w:r>
      <w:r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处罚款</w:t>
      </w:r>
      <w:r>
        <w:rPr>
          <w:rFonts w:hint="eastAsia" w:eastAsia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八</w:t>
      </w:r>
      <w:r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万元。</w:t>
      </w:r>
    </w:p>
    <w:p>
      <w:pPr>
        <w:tabs>
          <w:tab w:val="left" w:pos="8940"/>
        </w:tabs>
        <w:autoSpaceDE w:val="0"/>
        <w:autoSpaceDN w:val="0"/>
        <w:adjustRightInd w:val="0"/>
        <w:snapToGrid w:val="0"/>
        <w:spacing w:line="360" w:lineRule="auto"/>
        <w:ind w:firstLine="640" w:firstLineChars="200"/>
        <w:jc w:val="left"/>
        <w:rPr>
          <w:rFonts w:eastAsia="黑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eastAsia="黑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三、</w:t>
      </w:r>
      <w:r>
        <w:rPr>
          <w:rFonts w:hint="eastAsia" w:eastAsia="黑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责令改正和</w:t>
      </w:r>
      <w:r>
        <w:rPr>
          <w:rFonts w:eastAsia="黑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处罚决定的履行方式和期限</w:t>
      </w:r>
    </w:p>
    <w:p>
      <w:pPr>
        <w:tabs>
          <w:tab w:val="left" w:pos="8940"/>
        </w:tabs>
        <w:autoSpaceDE w:val="0"/>
        <w:autoSpaceDN w:val="0"/>
        <w:adjustRightInd w:val="0"/>
        <w:snapToGrid w:val="0"/>
        <w:spacing w:line="360" w:lineRule="auto"/>
        <w:ind w:firstLine="640" w:firstLineChars="200"/>
        <w:jc w:val="left"/>
        <w:rPr>
          <w:rFonts w:ascii="楷体" w:hAnsi="楷体" w:eastAsia="楷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楷体" w:hAnsi="楷体" w:eastAsia="楷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（一）关于责令改正的履行方式和期限</w:t>
      </w:r>
    </w:p>
    <w:p>
      <w:pPr>
        <w:tabs>
          <w:tab w:val="left" w:pos="8940"/>
        </w:tabs>
        <w:autoSpaceDE w:val="0"/>
        <w:autoSpaceDN w:val="0"/>
        <w:adjustRightInd w:val="0"/>
        <w:snapToGrid w:val="0"/>
        <w:spacing w:line="360" w:lineRule="auto"/>
        <w:ind w:firstLine="640" w:firstLineChars="200"/>
        <w:jc w:val="left"/>
        <w:rPr>
          <w:rFonts w:hint="eastAsia" w:eastAsia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你单位应于接到本</w:t>
      </w:r>
      <w:r>
        <w:rPr>
          <w:rFonts w:hint="eastAsia" w:eastAsia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处罚</w:t>
      </w:r>
      <w:r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决定书之日起</w:t>
      </w:r>
      <w:r>
        <w:rPr>
          <w:rFonts w:hint="eastAsia" w:eastAsia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立即</w:t>
      </w:r>
      <w:r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改正违法行为。</w:t>
      </w:r>
      <w:r>
        <w:rPr>
          <w:rFonts w:hint="eastAsia" w:eastAsia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你单位应在生产过程中保持大气污染防治设施正常使用</w:t>
      </w:r>
      <w:r>
        <w:rPr>
          <w:rFonts w:hint="eastAsia" w:eastAsia="仿宋_GB2312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tabs>
          <w:tab w:val="left" w:pos="8940"/>
        </w:tabs>
        <w:autoSpaceDE w:val="0"/>
        <w:autoSpaceDN w:val="0"/>
        <w:adjustRightInd w:val="0"/>
        <w:snapToGrid w:val="0"/>
        <w:spacing w:line="360" w:lineRule="auto"/>
        <w:ind w:firstLine="640" w:firstLineChars="200"/>
        <w:jc w:val="left"/>
        <w:rPr>
          <w:rFonts w:ascii="楷体" w:hAnsi="楷体" w:eastAsia="楷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楷体" w:hAnsi="楷体" w:eastAsia="楷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（二）关于</w:t>
      </w:r>
      <w:r>
        <w:rPr>
          <w:rFonts w:hint="eastAsia" w:ascii="楷体" w:hAnsi="楷体" w:eastAsia="楷体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处罚决定</w:t>
      </w:r>
      <w:r>
        <w:rPr>
          <w:rFonts w:ascii="楷体" w:hAnsi="楷体" w:eastAsia="楷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的履行方式和期限</w:t>
      </w:r>
    </w:p>
    <w:p>
      <w:pPr>
        <w:tabs>
          <w:tab w:val="left" w:pos="8940"/>
        </w:tabs>
        <w:autoSpaceDE w:val="0"/>
        <w:autoSpaceDN w:val="0"/>
        <w:adjustRightInd w:val="0"/>
        <w:snapToGrid w:val="0"/>
        <w:spacing w:line="360" w:lineRule="auto"/>
        <w:ind w:firstLine="640" w:firstLineChars="200"/>
        <w:jc w:val="left"/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依据</w:t>
      </w:r>
      <w:r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《中华人民共和国行政处罚法》和《罚款决定与罚款收缴分离实施办法》的</w:t>
      </w:r>
      <w:r>
        <w:rPr>
          <w:rFonts w:hint="eastAsia" w:eastAsia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相关</w:t>
      </w:r>
      <w:r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规定，你单位接到本处罚决定书之日起十五日内</w:t>
      </w:r>
      <w:r>
        <w:rPr>
          <w:rFonts w:hint="eastAsia" w:eastAsia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应</w:t>
      </w:r>
      <w:r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领取《非税收入统一缴款书</w:t>
      </w:r>
      <w:r>
        <w:rPr>
          <w:rFonts w:hint="eastAsia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（缴款通知书）</w:t>
      </w:r>
      <w:r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》并缴至指定银行。你单位逾期不缴纳罚款的，我局</w:t>
      </w:r>
      <w:r>
        <w:rPr>
          <w:rFonts w:hint="eastAsia" w:eastAsia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可以</w:t>
      </w:r>
      <w:r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依法每日按罚款数额的3%加处罚款。      </w:t>
      </w:r>
    </w:p>
    <w:p>
      <w:pPr>
        <w:tabs>
          <w:tab w:val="left" w:pos="8940"/>
        </w:tabs>
        <w:autoSpaceDE w:val="0"/>
        <w:autoSpaceDN w:val="0"/>
        <w:adjustRightInd w:val="0"/>
        <w:snapToGrid w:val="0"/>
        <w:spacing w:line="360" w:lineRule="auto"/>
        <w:ind w:firstLine="720" w:firstLineChars="225"/>
        <w:jc w:val="left"/>
        <w:rPr>
          <w:rFonts w:eastAsia="黑体"/>
          <w:color w:val="000000" w:themeColor="text1"/>
          <w:kern w:val="0"/>
          <w:sz w:val="32"/>
          <w:szCs w:val="32"/>
          <w:u w:val="single"/>
          <w14:textFill>
            <w14:solidFill>
              <w14:schemeClr w14:val="tx1"/>
            </w14:solidFill>
          </w14:textFill>
        </w:rPr>
      </w:pPr>
      <w:r>
        <w:rPr>
          <w:rFonts w:eastAsia="黑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四、申请行政复议或者提起行政诉讼的途径和期限 </w:t>
      </w:r>
    </w:p>
    <w:p>
      <w:pPr>
        <w:tabs>
          <w:tab w:val="left" w:pos="8940"/>
        </w:tabs>
        <w:autoSpaceDE w:val="0"/>
        <w:autoSpaceDN w:val="0"/>
        <w:adjustRightInd w:val="0"/>
        <w:snapToGrid w:val="0"/>
        <w:spacing w:line="360" w:lineRule="auto"/>
        <w:ind w:firstLine="640" w:firstLineChars="200"/>
        <w:jc w:val="left"/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如对本处罚决定不服，</w:t>
      </w:r>
      <w:r>
        <w:rPr>
          <w:rFonts w:hint="eastAsia" w:eastAsia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你单位</w:t>
      </w:r>
      <w:r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可在收到本处罚决定书之日起</w:t>
      </w:r>
      <w:r>
        <w:rPr>
          <w:rFonts w:hint="eastAsia" w:eastAsia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60</w:t>
      </w:r>
      <w:r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日内向中华人民共和国生态环境部或者天津市人民政府申请</w:t>
      </w:r>
      <w:r>
        <w:rPr>
          <w:rFonts w:hint="eastAsia" w:eastAsia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行政</w:t>
      </w:r>
      <w:r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复议，也可在</w:t>
      </w:r>
      <w:r>
        <w:rPr>
          <w:rFonts w:hint="eastAsia" w:eastAsia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6</w:t>
      </w:r>
      <w:r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个月内直接向天津铁路运输法院</w:t>
      </w:r>
      <w:r>
        <w:rPr>
          <w:rFonts w:hint="eastAsia" w:eastAsia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提起行政</w:t>
      </w:r>
      <w:r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起诉。申请行政复议或者提起行政诉讼，不停止</w:t>
      </w:r>
      <w:r>
        <w:rPr>
          <w:rFonts w:hint="eastAsia" w:eastAsia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本</w:t>
      </w:r>
      <w:r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行政处罚决定的执行。逾期</w:t>
      </w:r>
      <w:r>
        <w:rPr>
          <w:rFonts w:eastAsia="仿宋_GB2312"/>
          <w:color w:val="000000" w:themeColor="text1"/>
          <w:spacing w:val="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不</w:t>
      </w:r>
      <w:r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申</w:t>
      </w:r>
      <w:r>
        <w:rPr>
          <w:rFonts w:eastAsia="仿宋_GB2312"/>
          <w:color w:val="000000" w:themeColor="text1"/>
          <w:spacing w:val="1"/>
          <w:kern w:val="0"/>
          <w:sz w:val="32"/>
          <w:szCs w:val="32"/>
          <w14:textFill>
            <w14:solidFill>
              <w14:schemeClr w14:val="tx1"/>
            </w14:solidFill>
          </w14:textFill>
        </w:rPr>
        <w:t>请</w:t>
      </w:r>
      <w:r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行政</w:t>
      </w:r>
      <w:r>
        <w:rPr>
          <w:rFonts w:eastAsia="仿宋_GB2312"/>
          <w:color w:val="000000" w:themeColor="text1"/>
          <w:spacing w:val="1"/>
          <w:kern w:val="0"/>
          <w:sz w:val="32"/>
          <w:szCs w:val="32"/>
          <w14:textFill>
            <w14:solidFill>
              <w14:schemeClr w14:val="tx1"/>
            </w14:solidFill>
          </w14:textFill>
        </w:rPr>
        <w:t>复</w:t>
      </w:r>
      <w:r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议</w:t>
      </w:r>
      <w:r>
        <w:rPr>
          <w:rFonts w:eastAsia="仿宋_GB2312"/>
          <w:color w:val="000000" w:themeColor="text1"/>
          <w:spacing w:val="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，</w:t>
      </w:r>
      <w:r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不提</w:t>
      </w:r>
      <w:r>
        <w:rPr>
          <w:rFonts w:eastAsia="仿宋_GB2312"/>
          <w:color w:val="000000" w:themeColor="text1"/>
          <w:spacing w:val="1"/>
          <w:kern w:val="0"/>
          <w:sz w:val="32"/>
          <w:szCs w:val="32"/>
          <w14:textFill>
            <w14:solidFill>
              <w14:schemeClr w14:val="tx1"/>
            </w14:solidFill>
          </w14:textFill>
        </w:rPr>
        <w:t>起</w:t>
      </w:r>
      <w:r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行</w:t>
      </w:r>
      <w:r>
        <w:rPr>
          <w:rFonts w:eastAsia="仿宋_GB2312"/>
          <w:color w:val="000000" w:themeColor="text1"/>
          <w:spacing w:val="1"/>
          <w:kern w:val="0"/>
          <w:sz w:val="32"/>
          <w:szCs w:val="32"/>
          <w14:textFill>
            <w14:solidFill>
              <w14:schemeClr w14:val="tx1"/>
            </w14:solidFill>
          </w14:textFill>
        </w:rPr>
        <w:t>政</w:t>
      </w:r>
      <w:r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诉讼</w:t>
      </w:r>
      <w:r>
        <w:rPr>
          <w:rFonts w:eastAsia="仿宋_GB2312"/>
          <w:color w:val="000000" w:themeColor="text1"/>
          <w:spacing w:val="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，</w:t>
      </w:r>
      <w:r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又</w:t>
      </w:r>
      <w:r>
        <w:rPr>
          <w:rFonts w:eastAsia="仿宋_GB2312"/>
          <w:color w:val="000000" w:themeColor="text1"/>
          <w:spacing w:val="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不</w:t>
      </w:r>
      <w:r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履行</w:t>
      </w:r>
      <w:r>
        <w:rPr>
          <w:rFonts w:eastAsia="仿宋_GB2312"/>
          <w:color w:val="000000" w:themeColor="text1"/>
          <w:spacing w:val="1"/>
          <w:kern w:val="0"/>
          <w:sz w:val="32"/>
          <w:szCs w:val="32"/>
          <w14:textFill>
            <w14:solidFill>
              <w14:schemeClr w14:val="tx1"/>
            </w14:solidFill>
          </w14:textFill>
        </w:rPr>
        <w:t>本</w:t>
      </w:r>
      <w:r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处</w:t>
      </w:r>
      <w:r>
        <w:rPr>
          <w:rFonts w:eastAsia="仿宋_GB2312"/>
          <w:color w:val="000000" w:themeColor="text1"/>
          <w:spacing w:val="1"/>
          <w:kern w:val="0"/>
          <w:sz w:val="32"/>
          <w:szCs w:val="32"/>
          <w14:textFill>
            <w14:solidFill>
              <w14:schemeClr w14:val="tx1"/>
            </w14:solidFill>
          </w14:textFill>
        </w:rPr>
        <w:t>罚</w:t>
      </w:r>
      <w:r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决定</w:t>
      </w:r>
      <w:r>
        <w:rPr>
          <w:rFonts w:eastAsia="仿宋_GB2312"/>
          <w:color w:val="000000" w:themeColor="text1"/>
          <w:spacing w:val="1"/>
          <w:kern w:val="0"/>
          <w:sz w:val="32"/>
          <w:szCs w:val="32"/>
          <w14:textFill>
            <w14:solidFill>
              <w14:schemeClr w14:val="tx1"/>
            </w14:solidFill>
          </w14:textFill>
        </w:rPr>
        <w:t>的</w:t>
      </w:r>
      <w:r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，</w:t>
      </w:r>
      <w:r>
        <w:rPr>
          <w:rFonts w:eastAsia="仿宋_GB2312"/>
          <w:color w:val="000000" w:themeColor="text1"/>
          <w:spacing w:val="1"/>
          <w:kern w:val="0"/>
          <w:sz w:val="32"/>
          <w:szCs w:val="32"/>
          <w14:textFill>
            <w14:solidFill>
              <w14:schemeClr w14:val="tx1"/>
            </w14:solidFill>
          </w14:textFill>
        </w:rPr>
        <w:t>我</w:t>
      </w:r>
      <w:r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局将</w:t>
      </w:r>
      <w:r>
        <w:rPr>
          <w:rFonts w:eastAsia="仿宋_GB2312"/>
          <w:color w:val="000000" w:themeColor="text1"/>
          <w:spacing w:val="1"/>
          <w:kern w:val="0"/>
          <w:sz w:val="32"/>
          <w:szCs w:val="32"/>
          <w14:textFill>
            <w14:solidFill>
              <w14:schemeClr w14:val="tx1"/>
            </w14:solidFill>
          </w14:textFill>
        </w:rPr>
        <w:t>依</w:t>
      </w:r>
      <w:r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法</w:t>
      </w:r>
      <w:r>
        <w:rPr>
          <w:rFonts w:eastAsia="仿宋_GB2312"/>
          <w:color w:val="000000" w:themeColor="text1"/>
          <w:spacing w:val="1"/>
          <w:kern w:val="0"/>
          <w:sz w:val="32"/>
          <w:szCs w:val="32"/>
          <w14:textFill>
            <w14:solidFill>
              <w14:schemeClr w14:val="tx1"/>
            </w14:solidFill>
          </w14:textFill>
        </w:rPr>
        <w:t>申</w:t>
      </w:r>
      <w:r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请人</w:t>
      </w:r>
      <w:r>
        <w:rPr>
          <w:rFonts w:eastAsia="仿宋_GB2312"/>
          <w:color w:val="000000" w:themeColor="text1"/>
          <w:spacing w:val="1"/>
          <w:kern w:val="0"/>
          <w:sz w:val="32"/>
          <w:szCs w:val="32"/>
          <w14:textFill>
            <w14:solidFill>
              <w14:schemeClr w14:val="tx1"/>
            </w14:solidFill>
          </w14:textFill>
        </w:rPr>
        <w:t>民法</w:t>
      </w:r>
      <w:r>
        <w:rPr>
          <w:rFonts w:eastAsia="仿宋_GB2312"/>
          <w:color w:val="000000" w:themeColor="text1"/>
          <w:spacing w:val="2"/>
          <w:kern w:val="0"/>
          <w:sz w:val="32"/>
          <w:szCs w:val="32"/>
          <w14:textFill>
            <w14:solidFill>
              <w14:schemeClr w14:val="tx1"/>
            </w14:solidFill>
          </w14:textFill>
        </w:rPr>
        <w:t>院</w:t>
      </w:r>
      <w:r>
        <w:rPr>
          <w:rFonts w:eastAsia="仿宋_GB2312"/>
          <w:color w:val="000000" w:themeColor="text1"/>
          <w:spacing w:val="1"/>
          <w:kern w:val="0"/>
          <w:sz w:val="32"/>
          <w:szCs w:val="32"/>
          <w14:textFill>
            <w14:solidFill>
              <w14:schemeClr w14:val="tx1"/>
            </w14:solidFill>
          </w14:textFill>
        </w:rPr>
        <w:t>强</w:t>
      </w:r>
      <w:r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制执行。</w:t>
      </w:r>
    </w:p>
    <w:p>
      <w:pPr>
        <w:tabs>
          <w:tab w:val="left" w:pos="8940"/>
        </w:tabs>
        <w:autoSpaceDE w:val="0"/>
        <w:autoSpaceDN w:val="0"/>
        <w:adjustRightInd w:val="0"/>
        <w:snapToGrid w:val="0"/>
        <w:spacing w:line="360" w:lineRule="auto"/>
        <w:ind w:firstLine="640" w:firstLineChars="200"/>
        <w:jc w:val="left"/>
        <w:rPr>
          <w:rFonts w:hint="eastAsia" w:ascii="黑体" w:hAnsi="黑体" w:eastAsia="黑体" w:cs="黑体"/>
          <w:b w:val="0"/>
          <w:bCs w:val="0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 w:val="0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五、信用中国网站信用修复</w:t>
      </w:r>
    </w:p>
    <w:p>
      <w:pPr>
        <w:tabs>
          <w:tab w:val="left" w:pos="8940"/>
        </w:tabs>
        <w:autoSpaceDE w:val="0"/>
        <w:autoSpaceDN w:val="0"/>
        <w:adjustRightInd w:val="0"/>
        <w:snapToGrid w:val="0"/>
        <w:spacing w:line="360" w:lineRule="auto"/>
        <w:ind w:firstLine="640" w:firstLineChars="200"/>
        <w:jc w:val="left"/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你单位自觉履行本行政处罚决定内容满3个月，且经我局复查认定你单位完成上述违法行为整改工作后，你单位可注册、登录“信用中国（天津）”网站（https://credit.fzgg.tj.gov.cn/）企业信息查询页面自助办理行政处罚信用修复。</w:t>
      </w:r>
    </w:p>
    <w:p>
      <w:pPr>
        <w:tabs>
          <w:tab w:val="left" w:pos="5980"/>
          <w:tab w:val="left" w:pos="8460"/>
          <w:tab w:val="left" w:pos="9265"/>
        </w:tabs>
        <w:autoSpaceDE w:val="0"/>
        <w:autoSpaceDN w:val="0"/>
        <w:adjustRightInd w:val="0"/>
        <w:snapToGrid w:val="0"/>
        <w:spacing w:line="360" w:lineRule="auto"/>
        <w:ind w:right="-20"/>
        <w:jc w:val="left"/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tabs>
          <w:tab w:val="left" w:pos="5035"/>
          <w:tab w:val="left" w:pos="8460"/>
          <w:tab w:val="left" w:pos="9265"/>
        </w:tabs>
        <w:autoSpaceDE w:val="0"/>
        <w:autoSpaceDN w:val="0"/>
        <w:adjustRightInd w:val="0"/>
        <w:snapToGrid w:val="0"/>
        <w:spacing w:line="360" w:lineRule="auto"/>
        <w:ind w:right="-20"/>
        <w:jc w:val="left"/>
        <w:rPr>
          <w:rFonts w:hint="default" w:eastAsia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联系人：</w:t>
      </w:r>
      <w:r>
        <w:rPr>
          <w:rFonts w:hint="eastAsia" w:eastAsia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唐梦璐</w:t>
      </w:r>
      <w:r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                 联系电</w:t>
      </w:r>
      <w:r>
        <w:rPr>
          <w:rFonts w:eastAsia="仿宋_GB2312"/>
          <w:color w:val="000000" w:themeColor="text1"/>
          <w:spacing w:val="-1"/>
          <w:kern w:val="0"/>
          <w:sz w:val="32"/>
          <w:szCs w:val="32"/>
          <w14:textFill>
            <w14:solidFill>
              <w14:schemeClr w14:val="tx1"/>
            </w14:solidFill>
          </w14:textFill>
        </w:rPr>
        <w:t>话</w:t>
      </w:r>
      <w:r>
        <w:rPr>
          <w:rFonts w:eastAsia="仿宋_GB2312"/>
          <w:color w:val="000000" w:themeColor="text1"/>
          <w:spacing w:val="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：</w:t>
      </w:r>
      <w:bookmarkStart w:id="4" w:name="PO_7_LianXiDianHua"/>
      <w:r>
        <w:rPr>
          <w:rFonts w:eastAsia="仿宋_GB2312"/>
          <w:color w:val="000000" w:themeColor="text1"/>
          <w:spacing w:val="1"/>
          <w:kern w:val="0"/>
          <w:sz w:val="32"/>
          <w:szCs w:val="32"/>
          <w14:textFill>
            <w14:solidFill>
              <w14:schemeClr w14:val="tx1"/>
            </w14:solidFill>
          </w14:textFill>
        </w:rPr>
        <w:t>87671</w:t>
      </w:r>
      <w:bookmarkEnd w:id="4"/>
      <w:r>
        <w:rPr>
          <w:rFonts w:eastAsia="仿宋_GB2312"/>
          <w:color w:val="000000" w:themeColor="text1"/>
          <w:spacing w:val="1"/>
          <w:kern w:val="0"/>
          <w:sz w:val="32"/>
          <w:szCs w:val="32"/>
          <w14:textFill>
            <w14:solidFill>
              <w14:schemeClr w14:val="tx1"/>
            </w14:solidFill>
          </w14:textFill>
        </w:rPr>
        <w:t>7</w:t>
      </w:r>
      <w:r>
        <w:rPr>
          <w:rFonts w:hint="eastAsia" w:eastAsia="仿宋_GB2312"/>
          <w:color w:val="000000" w:themeColor="text1"/>
          <w:spacing w:val="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77</w:t>
      </w:r>
    </w:p>
    <w:p>
      <w:pPr>
        <w:autoSpaceDE w:val="0"/>
        <w:autoSpaceDN w:val="0"/>
        <w:adjustRightInd w:val="0"/>
        <w:snapToGrid w:val="0"/>
        <w:spacing w:line="360" w:lineRule="auto"/>
        <w:jc w:val="left"/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地  址：</w:t>
      </w:r>
      <w:bookmarkStart w:id="5" w:name="PO_2_BanLiDiDian"/>
      <w:r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天津市南开区复康路17号</w:t>
      </w:r>
      <w:bookmarkEnd w:id="5"/>
      <w:r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 邮政编码：</w:t>
      </w:r>
      <w:bookmarkStart w:id="6" w:name="PO_2_DanWeiYouBian"/>
      <w:r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300191</w:t>
      </w:r>
      <w:bookmarkEnd w:id="6"/>
    </w:p>
    <w:p>
      <w:pPr>
        <w:autoSpaceDE w:val="0"/>
        <w:autoSpaceDN w:val="0"/>
        <w:adjustRightInd w:val="0"/>
        <w:snapToGrid w:val="0"/>
        <w:spacing w:line="360" w:lineRule="auto"/>
        <w:jc w:val="left"/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autoSpaceDE w:val="0"/>
        <w:autoSpaceDN w:val="0"/>
        <w:adjustRightInd w:val="0"/>
        <w:snapToGrid w:val="0"/>
        <w:spacing w:line="360" w:lineRule="auto"/>
        <w:jc w:val="left"/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autoSpaceDE w:val="0"/>
        <w:autoSpaceDN w:val="0"/>
        <w:adjustRightInd w:val="0"/>
        <w:snapToGrid w:val="0"/>
        <w:spacing w:line="360" w:lineRule="auto"/>
        <w:jc w:val="left"/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                                                                  </w:t>
      </w:r>
    </w:p>
    <w:p>
      <w:pPr>
        <w:adjustRightInd w:val="0"/>
        <w:snapToGrid w:val="0"/>
        <w:spacing w:line="360" w:lineRule="auto"/>
        <w:jc w:val="center"/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                           </w:t>
      </w:r>
      <w:bookmarkStart w:id="7" w:name="PO_7_QianFaShiJian"/>
      <w:r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20</w:t>
      </w:r>
      <w:r>
        <w:rPr>
          <w:rFonts w:hint="eastAsia" w:eastAsia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23</w:t>
      </w:r>
      <w:r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年</w:t>
      </w:r>
      <w:r>
        <w:rPr>
          <w:rFonts w:hint="eastAsia" w:eastAsia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12</w:t>
      </w:r>
      <w:r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月</w:t>
      </w:r>
      <w:bookmarkEnd w:id="7"/>
      <w:r>
        <w:rPr>
          <w:rFonts w:hint="eastAsia" w:eastAsia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11</w:t>
      </w:r>
      <w:r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日</w:t>
      </w:r>
    </w:p>
    <w:p>
      <w:pPr>
        <w:tabs>
          <w:tab w:val="left" w:pos="9120"/>
        </w:tabs>
        <w:autoSpaceDE w:val="0"/>
        <w:autoSpaceDN w:val="0"/>
        <w:adjustRightInd w:val="0"/>
        <w:ind w:right="120"/>
        <w:rPr>
          <w:rFonts w:eastAsia="仿宋_GB2312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eastAsia="仿宋_GB2312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注：此文书一式</w:t>
      </w:r>
      <w:r>
        <w:rPr>
          <w:rFonts w:hint="eastAsia" w:eastAsia="仿宋_GB2312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三</w:t>
      </w:r>
      <w:r>
        <w:rPr>
          <w:rFonts w:eastAsia="仿宋_GB2312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份，</w:t>
      </w:r>
      <w:r>
        <w:rPr>
          <w:rFonts w:hint="eastAsia" w:eastAsia="仿宋_GB2312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二</w:t>
      </w:r>
      <w:r>
        <w:rPr>
          <w:rFonts w:eastAsia="仿宋_GB2312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份归档，一份送达。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7" w:h="16840" w:orient="landscape"/>
      <w:pgMar w:top="2098" w:right="1582" w:bottom="1985" w:left="1531" w:header="851" w:footer="992" w:gutter="0"/>
      <w:cols w:space="720" w:num="1"/>
      <w:docGrid w:type="lines"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Garamond">
    <w:altName w:val="Segoe Print"/>
    <w:panose1 w:val="02020404030301010803"/>
    <w:charset w:val="00"/>
    <w:family w:val="roman"/>
    <w:pitch w:val="default"/>
    <w:sig w:usb0="00000000" w:usb1="00000000" w:usb2="00000000" w:usb3="00000000" w:csb0="0000009F" w:csb1="DFD7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center"/>
      <w:rPr>
        <w:rFonts w:hint="eastAsia"/>
      </w:rPr>
    </w:pPr>
    <w:r>
      <w:rPr>
        <w:lang w:val="zh-CN"/>
      </w:rPr>
      <w:t xml:space="preserve"> </w:t>
    </w:r>
    <w:r>
      <w:rPr>
        <w:b/>
        <w:sz w:val="24"/>
        <w:szCs w:val="24"/>
      </w:rPr>
      <w:fldChar w:fldCharType="begin"/>
    </w:r>
    <w:r>
      <w:rPr>
        <w:b/>
      </w:rPr>
      <w:instrText xml:space="preserve">PAGE</w:instrText>
    </w:r>
    <w:r>
      <w:rPr>
        <w:b/>
        <w:sz w:val="24"/>
        <w:szCs w:val="24"/>
      </w:rPr>
      <w:fldChar w:fldCharType="separate"/>
    </w:r>
    <w:r>
      <w:rPr>
        <w:b/>
      </w:rPr>
      <w:t>2</w:t>
    </w:r>
    <w:r>
      <w:rPr>
        <w:b/>
        <w:sz w:val="24"/>
        <w:szCs w:val="24"/>
      </w:rPr>
      <w:fldChar w:fldCharType="end"/>
    </w:r>
    <w:r>
      <w:rPr>
        <w:lang w:val="zh-CN"/>
      </w:rPr>
      <w:t xml:space="preserve"> / </w:t>
    </w:r>
    <w:r>
      <w:rPr>
        <w:b/>
        <w:sz w:val="24"/>
        <w:szCs w:val="24"/>
      </w:rPr>
      <w:fldChar w:fldCharType="begin"/>
    </w:r>
    <w:r>
      <w:rPr>
        <w:b/>
      </w:rPr>
      <w:instrText xml:space="preserve">NUMPAGES</w:instrText>
    </w:r>
    <w:r>
      <w:rPr>
        <w:b/>
        <w:sz w:val="24"/>
        <w:szCs w:val="24"/>
      </w:rPr>
      <w:fldChar w:fldCharType="separate"/>
    </w:r>
    <w:r>
      <w:rPr>
        <w:b/>
      </w:rPr>
      <w:t>8</w:t>
    </w:r>
    <w:r>
      <w:rPr>
        <w:b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0"/>
      </w:pBdr>
    </w:pPr>
  </w:p>
  <w:p/>
  <w:p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CAF0D15"/>
    <w:multiLevelType w:val="multilevel"/>
    <w:tmpl w:val="1CAF0D15"/>
    <w:lvl w:ilvl="0" w:tentative="0">
      <w:start w:val="1"/>
      <w:numFmt w:val="chineseCountingThousand"/>
      <w:lvlText w:val="第%1章"/>
      <w:lvlJc w:val="left"/>
      <w:pPr>
        <w:tabs>
          <w:tab w:val="left" w:pos="432"/>
        </w:tabs>
        <w:ind w:left="432" w:hanging="432"/>
      </w:pPr>
      <w:rPr>
        <w:rFonts w:hint="eastAsia"/>
      </w:rPr>
    </w:lvl>
    <w:lvl w:ilvl="1" w:tentative="0">
      <w:start w:val="1"/>
      <w:numFmt w:val="decimal"/>
      <w:pStyle w:val="3"/>
      <w:isLgl/>
      <w:lvlText w:val="%1.%2"/>
      <w:lvlJc w:val="left"/>
      <w:pPr>
        <w:tabs>
          <w:tab w:val="left" w:pos="576"/>
        </w:tabs>
        <w:ind w:left="576" w:hanging="576"/>
      </w:pPr>
      <w:rPr>
        <w:rFonts w:hint="eastAsia"/>
      </w:rPr>
    </w:lvl>
    <w:lvl w:ilvl="2" w:tentative="0">
      <w:start w:val="1"/>
      <w:numFmt w:val="decimal"/>
      <w:pStyle w:val="4"/>
      <w:isLgl/>
      <w:lvlText w:val="%1.%2.%3"/>
      <w:lvlJc w:val="left"/>
      <w:pPr>
        <w:tabs>
          <w:tab w:val="left" w:pos="720"/>
        </w:tabs>
        <w:ind w:left="720" w:hanging="720"/>
      </w:pPr>
      <w:rPr>
        <w:rFonts w:hint="eastAsia"/>
      </w:rPr>
    </w:lvl>
    <w:lvl w:ilvl="3" w:tentative="0">
      <w:start w:val="1"/>
      <w:numFmt w:val="decimal"/>
      <w:pStyle w:val="5"/>
      <w:isLgl/>
      <w:lvlText w:val="%1.%2.%3.%4"/>
      <w:lvlJc w:val="left"/>
      <w:pPr>
        <w:tabs>
          <w:tab w:val="left" w:pos="864"/>
        </w:tabs>
        <w:ind w:left="864" w:hanging="864"/>
      </w:pPr>
      <w:rPr>
        <w:rFonts w:hint="eastAsia"/>
        <w:sz w:val="24"/>
        <w:szCs w:val="24"/>
      </w:rPr>
    </w:lvl>
    <w:lvl w:ilvl="4" w:tentative="0">
      <w:start w:val="1"/>
      <w:numFmt w:val="decimal"/>
      <w:isLgl/>
      <w:lvlText w:val="%1.%2.%3.%4.%5 "/>
      <w:lvlJc w:val="left"/>
      <w:pPr>
        <w:tabs>
          <w:tab w:val="left" w:pos="1008"/>
        </w:tabs>
        <w:ind w:left="1008" w:hanging="1008"/>
      </w:pPr>
      <w:rPr>
        <w:rFonts w:hint="eastAsia"/>
        <w:sz w:val="28"/>
        <w:szCs w:val="28"/>
      </w:rPr>
    </w:lvl>
    <w:lvl w:ilvl="5" w:tentative="0">
      <w:start w:val="1"/>
      <w:numFmt w:val="decimal"/>
      <w:isLgl/>
      <w:lvlText w:val=" %1.%2.%3.%4.%5.%6 "/>
      <w:lvlJc w:val="left"/>
      <w:pPr>
        <w:tabs>
          <w:tab w:val="left" w:pos="1152"/>
        </w:tabs>
        <w:ind w:left="1152" w:hanging="1152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tabs>
          <w:tab w:val="left" w:pos="1296"/>
        </w:tabs>
        <w:ind w:left="1296" w:hanging="129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1584"/>
        </w:tabs>
        <w:ind w:left="1584" w:hanging="1584"/>
      </w:pPr>
      <w:rPr>
        <w:rFonts w:hint="eastAsia"/>
      </w:rPr>
    </w:lvl>
  </w:abstractNum>
  <w:abstractNum w:abstractNumId="1">
    <w:nsid w:val="7619608E"/>
    <w:multiLevelType w:val="multilevel"/>
    <w:tmpl w:val="7619608E"/>
    <w:lvl w:ilvl="0" w:tentative="0">
      <w:start w:val="1"/>
      <w:numFmt w:val="decimal"/>
      <w:pStyle w:val="2"/>
      <w:lvlText w:val="%1."/>
      <w:lvlJc w:val="left"/>
      <w:pPr>
        <w:tabs>
          <w:tab w:val="left" w:pos="425"/>
        </w:tabs>
        <w:ind w:left="425" w:hanging="425"/>
      </w:pPr>
    </w:lvl>
    <w:lvl w:ilvl="1" w:tentative="0">
      <w:start w:val="1"/>
      <w:numFmt w:val="decimal"/>
      <w:lvlText w:val="%1.%2."/>
      <w:lvlJc w:val="left"/>
      <w:pPr>
        <w:tabs>
          <w:tab w:val="left" w:pos="567"/>
        </w:tabs>
        <w:ind w:left="567" w:hanging="567"/>
      </w:pPr>
    </w:lvl>
    <w:lvl w:ilvl="2" w:tentative="0">
      <w:start w:val="1"/>
      <w:numFmt w:val="decimal"/>
      <w:lvlText w:val="%1.%2.%3."/>
      <w:lvlJc w:val="left"/>
      <w:pPr>
        <w:tabs>
          <w:tab w:val="left" w:pos="709"/>
        </w:tabs>
        <w:ind w:left="709" w:hanging="709"/>
      </w:pPr>
    </w:lvl>
    <w:lvl w:ilvl="3" w:tentative="0">
      <w:start w:val="1"/>
      <w:numFmt w:val="decimal"/>
      <w:lvlText w:val="%1.%2.%3.%4."/>
      <w:lvlJc w:val="left"/>
      <w:pPr>
        <w:tabs>
          <w:tab w:val="left" w:pos="851"/>
        </w:tabs>
        <w:ind w:left="851" w:hanging="851"/>
      </w:pPr>
    </w:lvl>
    <w:lvl w:ilvl="4" w:tentative="0">
      <w:start w:val="1"/>
      <w:numFmt w:val="decimal"/>
      <w:lvlText w:val="%1.%2.%3.%4.%5."/>
      <w:lvlJc w:val="left"/>
      <w:pPr>
        <w:tabs>
          <w:tab w:val="left" w:pos="992"/>
        </w:tabs>
        <w:ind w:left="992" w:hanging="992"/>
      </w:pPr>
    </w:lvl>
    <w:lvl w:ilvl="5" w:tentative="0">
      <w:start w:val="1"/>
      <w:numFmt w:val="decimal"/>
      <w:lvlText w:val="%1.%2.%3.%4.%5.%6."/>
      <w:lvlJc w:val="left"/>
      <w:pPr>
        <w:tabs>
          <w:tab w:val="left" w:pos="1134"/>
        </w:tabs>
        <w:ind w:left="1134" w:hanging="1134"/>
      </w:pPr>
    </w:lvl>
    <w:lvl w:ilvl="6" w:tentative="0">
      <w:start w:val="1"/>
      <w:numFmt w:val="decimal"/>
      <w:lvlText w:val="%1.%2.%3.%4.%5.%6.%7."/>
      <w:lvlJc w:val="left"/>
      <w:pPr>
        <w:tabs>
          <w:tab w:val="left" w:pos="1276"/>
        </w:tabs>
        <w:ind w:left="1276" w:hanging="1276"/>
      </w:pPr>
    </w:lvl>
    <w:lvl w:ilvl="7" w:tentative="0">
      <w:start w:val="1"/>
      <w:numFmt w:val="decimal"/>
      <w:lvlText w:val="%1.%2.%3.%4.%5.%6.%7.%8."/>
      <w:lvlJc w:val="left"/>
      <w:pPr>
        <w:tabs>
          <w:tab w:val="left" w:pos="1418"/>
        </w:tabs>
        <w:ind w:left="1418" w:hanging="1418"/>
      </w:pPr>
    </w:lvl>
    <w:lvl w:ilvl="8" w:tentative="0">
      <w:start w:val="1"/>
      <w:numFmt w:val="decimal"/>
      <w:lvlText w:val="%1.%2.%3.%4.%5.%6.%7.%8.%9."/>
      <w:lvlJc w:val="left"/>
      <w:pPr>
        <w:tabs>
          <w:tab w:val="left" w:pos="1559"/>
        </w:tabs>
        <w:ind w:left="1559" w:hanging="1559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420"/>
  <w:hyphenationZone w:val="360"/>
  <w:bookFoldPrinting w:val="1"/>
  <w:bookFoldPrintingSheets w:val="0"/>
  <w:drawingGridHorizontalSpacing w:val="120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U1OGM4Yjg4OTE3MTNlMjk4NzNmZmI2MTM3ZjA4NjEifQ=="/>
  </w:docVars>
  <w:rsids>
    <w:rsidRoot w:val="45962049"/>
    <w:rsid w:val="00010AA6"/>
    <w:rsid w:val="000204AC"/>
    <w:rsid w:val="00043334"/>
    <w:rsid w:val="000657F1"/>
    <w:rsid w:val="0009025B"/>
    <w:rsid w:val="00095A17"/>
    <w:rsid w:val="000D6F4A"/>
    <w:rsid w:val="000E35AD"/>
    <w:rsid w:val="0010341C"/>
    <w:rsid w:val="00121857"/>
    <w:rsid w:val="0013098D"/>
    <w:rsid w:val="0013559F"/>
    <w:rsid w:val="00140468"/>
    <w:rsid w:val="00157F83"/>
    <w:rsid w:val="00173A1F"/>
    <w:rsid w:val="00176E41"/>
    <w:rsid w:val="00177446"/>
    <w:rsid w:val="00194E8D"/>
    <w:rsid w:val="001A1DB1"/>
    <w:rsid w:val="001B0754"/>
    <w:rsid w:val="001B6475"/>
    <w:rsid w:val="001D6278"/>
    <w:rsid w:val="001E22F8"/>
    <w:rsid w:val="001E643A"/>
    <w:rsid w:val="001E7604"/>
    <w:rsid w:val="001E7CC6"/>
    <w:rsid w:val="00211E14"/>
    <w:rsid w:val="0021612C"/>
    <w:rsid w:val="00246C59"/>
    <w:rsid w:val="002560CC"/>
    <w:rsid w:val="00263436"/>
    <w:rsid w:val="002709C6"/>
    <w:rsid w:val="002817AC"/>
    <w:rsid w:val="002D34A1"/>
    <w:rsid w:val="002E443D"/>
    <w:rsid w:val="003057A3"/>
    <w:rsid w:val="0033687D"/>
    <w:rsid w:val="00343837"/>
    <w:rsid w:val="00353614"/>
    <w:rsid w:val="003658E2"/>
    <w:rsid w:val="00376865"/>
    <w:rsid w:val="003A15F8"/>
    <w:rsid w:val="003A1FCB"/>
    <w:rsid w:val="003B1577"/>
    <w:rsid w:val="003C05F1"/>
    <w:rsid w:val="003C45C3"/>
    <w:rsid w:val="003C4CF8"/>
    <w:rsid w:val="003D74C6"/>
    <w:rsid w:val="003E1E96"/>
    <w:rsid w:val="003E474C"/>
    <w:rsid w:val="003F2EA1"/>
    <w:rsid w:val="00417624"/>
    <w:rsid w:val="00450E93"/>
    <w:rsid w:val="004903BE"/>
    <w:rsid w:val="0049236B"/>
    <w:rsid w:val="004C43A3"/>
    <w:rsid w:val="004D7091"/>
    <w:rsid w:val="00501456"/>
    <w:rsid w:val="00506453"/>
    <w:rsid w:val="00506B39"/>
    <w:rsid w:val="00531338"/>
    <w:rsid w:val="005462FF"/>
    <w:rsid w:val="00556AAA"/>
    <w:rsid w:val="00556E72"/>
    <w:rsid w:val="00570B4E"/>
    <w:rsid w:val="00583D37"/>
    <w:rsid w:val="0059431A"/>
    <w:rsid w:val="005A2D5F"/>
    <w:rsid w:val="005B20ED"/>
    <w:rsid w:val="005B7404"/>
    <w:rsid w:val="00601CA0"/>
    <w:rsid w:val="00621936"/>
    <w:rsid w:val="00625AC4"/>
    <w:rsid w:val="00634C6F"/>
    <w:rsid w:val="006408BA"/>
    <w:rsid w:val="0064230B"/>
    <w:rsid w:val="00647C8C"/>
    <w:rsid w:val="00665D46"/>
    <w:rsid w:val="00683982"/>
    <w:rsid w:val="00685E46"/>
    <w:rsid w:val="006B4C3E"/>
    <w:rsid w:val="006D1DF4"/>
    <w:rsid w:val="0070626A"/>
    <w:rsid w:val="00716F33"/>
    <w:rsid w:val="00724ACD"/>
    <w:rsid w:val="007451B2"/>
    <w:rsid w:val="00750919"/>
    <w:rsid w:val="00755DF9"/>
    <w:rsid w:val="00776979"/>
    <w:rsid w:val="007817B9"/>
    <w:rsid w:val="00792255"/>
    <w:rsid w:val="007E0306"/>
    <w:rsid w:val="007E343F"/>
    <w:rsid w:val="007F2FE7"/>
    <w:rsid w:val="00850EF1"/>
    <w:rsid w:val="008778D2"/>
    <w:rsid w:val="008874CB"/>
    <w:rsid w:val="00895089"/>
    <w:rsid w:val="008A66F0"/>
    <w:rsid w:val="008B4839"/>
    <w:rsid w:val="008B6497"/>
    <w:rsid w:val="008E0B8C"/>
    <w:rsid w:val="008E6A09"/>
    <w:rsid w:val="008F6C12"/>
    <w:rsid w:val="0090189C"/>
    <w:rsid w:val="00913EA6"/>
    <w:rsid w:val="00977AA3"/>
    <w:rsid w:val="009A5126"/>
    <w:rsid w:val="009A5FA0"/>
    <w:rsid w:val="009A7197"/>
    <w:rsid w:val="009B30FC"/>
    <w:rsid w:val="009B7917"/>
    <w:rsid w:val="009E4BC4"/>
    <w:rsid w:val="00A00336"/>
    <w:rsid w:val="00A22703"/>
    <w:rsid w:val="00A323A4"/>
    <w:rsid w:val="00A6249C"/>
    <w:rsid w:val="00A67E90"/>
    <w:rsid w:val="00A75B81"/>
    <w:rsid w:val="00A85133"/>
    <w:rsid w:val="00A8786C"/>
    <w:rsid w:val="00AA538F"/>
    <w:rsid w:val="00AC5186"/>
    <w:rsid w:val="00AD0BD6"/>
    <w:rsid w:val="00AF21E9"/>
    <w:rsid w:val="00AF2C63"/>
    <w:rsid w:val="00B1113A"/>
    <w:rsid w:val="00B13545"/>
    <w:rsid w:val="00B51CAA"/>
    <w:rsid w:val="00B56F69"/>
    <w:rsid w:val="00B571CE"/>
    <w:rsid w:val="00B65A78"/>
    <w:rsid w:val="00B77FEE"/>
    <w:rsid w:val="00BA1433"/>
    <w:rsid w:val="00BB3134"/>
    <w:rsid w:val="00BC39CE"/>
    <w:rsid w:val="00BE12F0"/>
    <w:rsid w:val="00BF19BB"/>
    <w:rsid w:val="00BF6CF7"/>
    <w:rsid w:val="00C04BE9"/>
    <w:rsid w:val="00C055CB"/>
    <w:rsid w:val="00C0653B"/>
    <w:rsid w:val="00C167DA"/>
    <w:rsid w:val="00C1784D"/>
    <w:rsid w:val="00C47953"/>
    <w:rsid w:val="00C607DE"/>
    <w:rsid w:val="00C727FA"/>
    <w:rsid w:val="00C75797"/>
    <w:rsid w:val="00C94F4E"/>
    <w:rsid w:val="00CA0F93"/>
    <w:rsid w:val="00CC125D"/>
    <w:rsid w:val="00CF1107"/>
    <w:rsid w:val="00D056EC"/>
    <w:rsid w:val="00D063E3"/>
    <w:rsid w:val="00D1024B"/>
    <w:rsid w:val="00D13861"/>
    <w:rsid w:val="00D15117"/>
    <w:rsid w:val="00D26915"/>
    <w:rsid w:val="00D2707E"/>
    <w:rsid w:val="00D31EDD"/>
    <w:rsid w:val="00D71E35"/>
    <w:rsid w:val="00D936DC"/>
    <w:rsid w:val="00D95AE8"/>
    <w:rsid w:val="00DA3404"/>
    <w:rsid w:val="00DA5D19"/>
    <w:rsid w:val="00DE1676"/>
    <w:rsid w:val="00E06209"/>
    <w:rsid w:val="00E173D0"/>
    <w:rsid w:val="00E3680D"/>
    <w:rsid w:val="00E372E2"/>
    <w:rsid w:val="00E95DD8"/>
    <w:rsid w:val="00E97CC4"/>
    <w:rsid w:val="00EA5465"/>
    <w:rsid w:val="00EB201B"/>
    <w:rsid w:val="00EE7147"/>
    <w:rsid w:val="00EE7196"/>
    <w:rsid w:val="00F11F86"/>
    <w:rsid w:val="00F25EA3"/>
    <w:rsid w:val="00F3469B"/>
    <w:rsid w:val="00F35CDC"/>
    <w:rsid w:val="00F419D7"/>
    <w:rsid w:val="00F46ABE"/>
    <w:rsid w:val="00F46DCD"/>
    <w:rsid w:val="00F53C70"/>
    <w:rsid w:val="00F54608"/>
    <w:rsid w:val="00F674B8"/>
    <w:rsid w:val="00F73398"/>
    <w:rsid w:val="00F97257"/>
    <w:rsid w:val="00FA0003"/>
    <w:rsid w:val="00FA2B76"/>
    <w:rsid w:val="00FB25AA"/>
    <w:rsid w:val="00FB4879"/>
    <w:rsid w:val="00FC14FB"/>
    <w:rsid w:val="00FD09D1"/>
    <w:rsid w:val="00FE5FB8"/>
    <w:rsid w:val="0BC97030"/>
    <w:rsid w:val="0DE05630"/>
    <w:rsid w:val="16FD0578"/>
    <w:rsid w:val="23D96EAA"/>
    <w:rsid w:val="2A1A666F"/>
    <w:rsid w:val="2B946F65"/>
    <w:rsid w:val="2D8321C2"/>
    <w:rsid w:val="2EE92518"/>
    <w:rsid w:val="3214796D"/>
    <w:rsid w:val="3D1F4403"/>
    <w:rsid w:val="3FCB7E8A"/>
    <w:rsid w:val="450F61CB"/>
    <w:rsid w:val="45962049"/>
    <w:rsid w:val="4A3E05CE"/>
    <w:rsid w:val="4A437691"/>
    <w:rsid w:val="4BD91CDD"/>
    <w:rsid w:val="502F15FB"/>
    <w:rsid w:val="503F23C3"/>
    <w:rsid w:val="51935037"/>
    <w:rsid w:val="553A03CB"/>
    <w:rsid w:val="58763D60"/>
    <w:rsid w:val="5BDF2ED1"/>
    <w:rsid w:val="5E5B096B"/>
    <w:rsid w:val="5F7C4535"/>
    <w:rsid w:val="624F5E3E"/>
    <w:rsid w:val="6404560A"/>
    <w:rsid w:val="64F75746"/>
    <w:rsid w:val="66B216B2"/>
    <w:rsid w:val="679D04BA"/>
    <w:rsid w:val="6851522E"/>
    <w:rsid w:val="6C5A27B0"/>
    <w:rsid w:val="72330BA4"/>
    <w:rsid w:val="73744CD2"/>
    <w:rsid w:val="742B7C3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numPr>
        <w:ilvl w:val="0"/>
        <w:numId w:val="1"/>
      </w:numPr>
      <w:spacing w:before="340" w:after="330" w:line="578" w:lineRule="auto"/>
      <w:outlineLvl w:val="0"/>
    </w:pPr>
    <w:rPr>
      <w:rFonts w:eastAsia="黑体"/>
      <w:b/>
      <w:bCs/>
      <w:kern w:val="44"/>
      <w:sz w:val="30"/>
      <w:szCs w:val="44"/>
    </w:rPr>
  </w:style>
  <w:style w:type="paragraph" w:styleId="3">
    <w:name w:val="heading 2"/>
    <w:basedOn w:val="1"/>
    <w:next w:val="1"/>
    <w:qFormat/>
    <w:uiPriority w:val="0"/>
    <w:pPr>
      <w:keepNext/>
      <w:keepLines/>
      <w:numPr>
        <w:ilvl w:val="1"/>
        <w:numId w:val="2"/>
      </w:numPr>
      <w:spacing w:before="160" w:after="160" w:line="440" w:lineRule="atLeast"/>
      <w:outlineLvl w:val="1"/>
    </w:pPr>
    <w:rPr>
      <w:b/>
      <w:kern w:val="0"/>
      <w:sz w:val="32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4">
    <w:name w:val="heading 3"/>
    <w:basedOn w:val="1"/>
    <w:next w:val="1"/>
    <w:qFormat/>
    <w:uiPriority w:val="0"/>
    <w:pPr>
      <w:keepNext/>
      <w:keepLines/>
      <w:numPr>
        <w:ilvl w:val="2"/>
        <w:numId w:val="2"/>
      </w:numPr>
      <w:spacing w:before="120" w:after="120" w:line="440" w:lineRule="atLeast"/>
      <w:outlineLvl w:val="2"/>
    </w:pPr>
    <w:rPr>
      <w:rFonts w:ascii="Garamond" w:hAnsi="Garamond"/>
      <w:b/>
      <w:kern w:val="0"/>
      <w:sz w:val="3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5">
    <w:name w:val="heading 4"/>
    <w:basedOn w:val="1"/>
    <w:next w:val="1"/>
    <w:qFormat/>
    <w:uiPriority w:val="0"/>
    <w:pPr>
      <w:keepNext/>
      <w:keepLines/>
      <w:numPr>
        <w:ilvl w:val="3"/>
        <w:numId w:val="2"/>
      </w:numPr>
      <w:spacing w:before="160" w:after="100" w:line="440" w:lineRule="atLeast"/>
      <w:jc w:val="left"/>
      <w:outlineLvl w:val="3"/>
    </w:pPr>
    <w:rPr>
      <w:b/>
      <w:kern w:val="0"/>
      <w:sz w:val="28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11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alloon Text"/>
    <w:basedOn w:val="1"/>
    <w:link w:val="12"/>
    <w:uiPriority w:val="0"/>
    <w:rPr>
      <w:sz w:val="18"/>
      <w:szCs w:val="18"/>
    </w:rPr>
  </w:style>
  <w:style w:type="paragraph" w:styleId="7">
    <w:name w:val="footer"/>
    <w:basedOn w:val="1"/>
    <w:link w:val="13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10">
    <w:name w:val="Table Grid"/>
    <w:basedOn w:val="9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2">
    <w:name w:val="批注框文本 字符"/>
    <w:link w:val="6"/>
    <w:uiPriority w:val="0"/>
    <w:rPr>
      <w:kern w:val="2"/>
      <w:sz w:val="18"/>
      <w:szCs w:val="18"/>
    </w:rPr>
  </w:style>
  <w:style w:type="character" w:customStyle="1" w:styleId="13">
    <w:name w:val="页脚 字符"/>
    <w:link w:val="7"/>
    <w:uiPriority w:val="99"/>
    <w:rPr>
      <w:kern w:val="2"/>
      <w:sz w:val="18"/>
      <w:szCs w:val="18"/>
    </w:rPr>
  </w:style>
  <w:style w:type="paragraph" w:customStyle="1" w:styleId="14">
    <w:name w:val="封皮"/>
    <w:basedOn w:val="1"/>
    <w:uiPriority w:val="0"/>
    <w:pPr>
      <w:jc w:val="center"/>
    </w:pPr>
    <w:rPr>
      <w:rFonts w:eastAsia="黑体"/>
      <w:b/>
      <w:sz w:val="7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24037;&#20316;&#25991;&#20214;&#22841;\&#24120;&#29992;&#25991;&#20070;&#27169;&#26495;\&#25191;&#27861;&#24635;&#38431;&#34892;&#25919;&#22788;&#32602;&#25991;&#20070;&#27169;&#29256;2023.10&#26356;&#26032;\&#34892;&#25919;&#22788;&#32602;&#20915;&#23450;&#20070;&#65288;&#30003;&#36777;&#65289;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行政处罚决定书（申辩）.dot</Template>
  <Pages>4</Pages>
  <Words>1090</Words>
  <Characters>1167</Characters>
  <Lines>8</Lines>
  <Paragraphs>2</Paragraphs>
  <TotalTime>28</TotalTime>
  <ScaleCrop>false</ScaleCrop>
  <LinksUpToDate>false</LinksUpToDate>
  <CharactersWithSpaces>1298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2023-11-28T03:17:00Z</dcterms:created>
  <dc:creator>Administrator</dc:creator>
  <cp:lastModifiedBy>唐大果果</cp:lastModifiedBy>
  <cp:lastPrinted>2023-12-08T02:06:18Z</cp:lastPrinted>
  <dcterms:modified xsi:type="dcterms:W3CDTF">2023-12-08T02:31:34Z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26EA2AF36654451897EABD85A10776CE_11</vt:lpwstr>
  </property>
</Properties>
</file>