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189</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天津协利城建筑工程有限公司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911201120640057671</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天津市津南区八里台泰达（津南）微电子工业区科达一路</w:t>
      </w:r>
      <w:r>
        <w:rPr>
          <w:rFonts w:hint="eastAsia" w:eastAsia="仿宋_GB2312"/>
          <w:color w:val="auto"/>
          <w:kern w:val="0"/>
          <w:sz w:val="32"/>
          <w:szCs w:val="32"/>
          <w:lang w:val="en-US" w:eastAsia="zh-CN"/>
        </w:rPr>
        <w:t>9-1147</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马春阳</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我局于2023年7月28日对津西浩（挂）2021-046号地块项目施工工地进行现场检查，经调查，发现你单位实施了以下环境违法行为：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现场检查时，上述施工工地有一台凯斯牌挖掘机（机械型号：CX210B，机械编码：DAC210K5N8SAH2021)正在作业，为你单位所有并入场使用。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上述施工工地位于天津市河西区解放南路环渤海国际经贸大厦旁，为《天津市人民政府关于划定禁止使用高排放非道路移动机械区域的通告》（津政规〔2022〕2号）规定的禁止使用高排放非道路移动机械一类禁用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市生态环境监测中心监测人员对上述挖掘机进行采样监测，根据市生态环境监测中心2023年7月28日出具的《监测报告》（津环监（监）7-2307016-25号），光吸收系数的监测结果为1.77m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，监测结果不符合《非道路柴油移动机械排气烟度限值及测量方法》4.1Ⅲ类限值“额定净功率&lt;37 光吸收系数不超过0.80m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 xml:space="preserve"> ，额定净功率Pmax≧37 光吸收系数不超过0.50m</w:t>
      </w:r>
      <w:r>
        <w:rPr>
          <w:rFonts w:hint="eastAsia" w:eastAsia="仿宋_GB2312"/>
          <w:color w:val="auto"/>
          <w:kern w:val="0"/>
          <w:sz w:val="32"/>
          <w:szCs w:val="32"/>
          <w:vertAlign w:val="superscript"/>
          <w:lang w:val="en-US" w:eastAsia="zh-CN"/>
        </w:rPr>
        <w:t>-1</w:t>
      </w:r>
      <w:r>
        <w:rPr>
          <w:rFonts w:hint="eastAsia" w:eastAsia="仿宋_GB2312"/>
          <w:color w:val="auto"/>
          <w:kern w:val="0"/>
          <w:sz w:val="32"/>
          <w:szCs w:val="32"/>
          <w:lang w:val="en-US" w:eastAsia="zh-CN"/>
        </w:rPr>
        <w:t>”规定，上述挖掘机属于天津市人民政府划定的在一类禁用区内禁止使用的高排放非道路移动机械。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lang w:val="en-US" w:eastAsia="zh-CN"/>
        </w:rPr>
        <w:t>《施工机械租赁协议》《天津市人民政府关于划定禁止使用高排放非道路移动机械区域的通告》（津政规〔2022〕2号）</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《监测报告》（津环监（监）7-2307016-25号）、《非道路柴油移动机械排气烟度限值及测量方法》（GB 36886—2018）、</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你单位上述行为违反了</w:t>
      </w:r>
      <w:r>
        <w:rPr>
          <w:rFonts w:hint="eastAsia" w:eastAsia="仿宋_GB2312"/>
          <w:color w:val="auto"/>
          <w:kern w:val="0"/>
          <w:sz w:val="32"/>
          <w:szCs w:val="32"/>
          <w:lang w:val="en-US" w:eastAsia="zh-CN"/>
        </w:rPr>
        <w:t>《天津市机动车和非道路移动机械排放污染防治条例》第十二条第一款</w:t>
      </w:r>
      <w:r>
        <w:rPr>
          <w:rFonts w:eastAsia="仿宋_GB2312"/>
          <w:color w:val="auto"/>
          <w:kern w:val="0"/>
          <w:sz w:val="32"/>
          <w:szCs w:val="32"/>
        </w:rPr>
        <w:t xml:space="preserve">的规定，依法应当予以处罚。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9</w:t>
      </w:r>
      <w:r>
        <w:rPr>
          <w:rFonts w:eastAsia="仿宋_GB2312"/>
          <w:color w:val="auto"/>
          <w:kern w:val="0"/>
          <w:sz w:val="32"/>
          <w:szCs w:val="32"/>
        </w:rPr>
        <w:t>月</w:t>
      </w:r>
      <w:r>
        <w:rPr>
          <w:rFonts w:hint="eastAsia" w:eastAsia="仿宋_GB2312"/>
          <w:color w:val="auto"/>
          <w:kern w:val="0"/>
          <w:sz w:val="32"/>
          <w:szCs w:val="32"/>
          <w:lang w:val="en-US" w:eastAsia="zh-CN"/>
        </w:rPr>
        <w:t>4</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134</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11</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134</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《天津市机动车和非道路移动机械排放污染防治条例》第五十条</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立即停止使用上述非道路移动机械</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五</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在禁止使用高排放非道路移动机械区域禁止使用高排放非道路移动机械。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tabs>
          <w:tab w:val="left" w:pos="7070"/>
          <w:tab w:val="left" w:pos="7820"/>
        </w:tabs>
        <w:kinsoku/>
        <w:wordWrap/>
        <w:overflowPunct/>
        <w:topLinePunct w:val="0"/>
        <w:autoSpaceDE w:val="0"/>
        <w:autoSpaceDN w:val="0"/>
        <w:bidi w:val="0"/>
        <w:adjustRightInd w:val="0"/>
        <w:snapToGrid w:val="0"/>
        <w:spacing w:line="560" w:lineRule="exact"/>
        <w:ind w:right="122" w:firstLine="6240" w:firstLineChars="1950"/>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0433421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334211"/>
    <w:rsid w:val="0D1742E5"/>
    <w:rsid w:val="170924E2"/>
    <w:rsid w:val="1CAF1114"/>
    <w:rsid w:val="1E353F45"/>
    <w:rsid w:val="23A72B7A"/>
    <w:rsid w:val="2B453C7F"/>
    <w:rsid w:val="2D426A6D"/>
    <w:rsid w:val="33DF60A4"/>
    <w:rsid w:val="3B2434F5"/>
    <w:rsid w:val="3F841B92"/>
    <w:rsid w:val="40FF52B5"/>
    <w:rsid w:val="43841772"/>
    <w:rsid w:val="473367BF"/>
    <w:rsid w:val="48475D0A"/>
    <w:rsid w:val="49AF4F85"/>
    <w:rsid w:val="4AD22D47"/>
    <w:rsid w:val="4E44018F"/>
    <w:rsid w:val="51935037"/>
    <w:rsid w:val="53B96C98"/>
    <w:rsid w:val="5B784E50"/>
    <w:rsid w:val="5B7E19C2"/>
    <w:rsid w:val="5BC40E35"/>
    <w:rsid w:val="5DC07A16"/>
    <w:rsid w:val="5F91207B"/>
    <w:rsid w:val="62413B44"/>
    <w:rsid w:val="693C7902"/>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65&#21327;&#21033;&#22478;&#21452;&#39640;&#25490;\&#34892;&#25919;&#22788;&#32602;&#20915;&#23450;&#20070;&#65288;189&#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行政处罚决定书（189号）.dot</Template>
  <Pages>4</Pages>
  <Words>1085</Words>
  <Characters>1157</Characters>
  <Lines>8</Lines>
  <Paragraphs>2</Paragraphs>
  <TotalTime>1</TotalTime>
  <ScaleCrop>false</ScaleCrop>
  <LinksUpToDate>false</LinksUpToDate>
  <CharactersWithSpaces>1299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2023-09-22T07:49:00Z</dcterms:created>
  <dc:creator>暗香</dc:creator>
  <cp:lastModifiedBy>暗香</cp:lastModifiedBy>
  <cp:lastPrinted>2023-10-08T08:02:00Z</cp:lastPrinted>
  <dcterms:modified xsi:type="dcterms:W3CDTF">2023-12-04T07:09:20Z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92133E1F65AA4DF39083C5CE79ACFA1D_11</vt:lpwstr>
  </property>
</Properties>
</file>