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position w:val="-2"/>
          <w:sz w:val="32"/>
          <w:szCs w:val="32"/>
          <w:lang w:val="en-US" w:eastAsia="zh-CN"/>
        </w:rPr>
        <w:t>196</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7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天津科达天宝科技有限公司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7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91120112MA05TCH51W</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7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天津市津南区八里台镇建设三支路10号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李德银</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8月4日对你单位进行了调查，参考你单位《天津科达天宝科技有限公司螺栓干壁钉金属配件扩建项目建设项目环境影响报告表》及批复文件、《排污许可证副本》（证书编号:91120112MA05TCH51W001Q），你单位渗碳工序产生含挥发性有机物废气（VOCs），治理措施为喷淋塔，废气经处理后通过20米高排气筒P2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3个网带炉正在使用，对应的渗碳工序正在生产，配套的喷淋塔泵机未开启，喷淋塔设施配套的风机未开启，渗碳工序产生的含挥发性有机物废气（VOCs）未经处理无组织排放。你单位行为属于产生含挥发性有机物废气的生产和服务活动，未按照规定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color w:val="auto"/>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科达天宝科技有限公司螺栓干壁钉金属配件扩建项目建设项目环境影响报告表》及批复文件、《排污许可证副本》（证书编号:91120112MA05TCH51W001Q）、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《中华人民共和国大气污染防治法》第四十五条的规定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8</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125</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13</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7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2023年9月15日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w:t>
      </w:r>
      <w:r>
        <w:rPr>
          <w:rFonts w:hint="eastAsia" w:eastAsia="仿宋_GB2312"/>
          <w:color w:val="auto"/>
          <w:kern w:val="0"/>
          <w:sz w:val="32"/>
          <w:szCs w:val="32"/>
          <w:lang w:eastAsia="zh-CN"/>
        </w:rPr>
        <w:t>交</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疫情三年，单位一直经营艰难，订单减少，裁员较多，导致员工既要生产，又要照看设备，存在管理漏洞。</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2.检查当天已将喷淋设备进行合闸，喷淋塔及风机均正常运行。恳请考虑企业经营状况，积极改正，减少罚款额度。</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125</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你单位于2023年9月15日提交的陈述申辩材料等证据为凭。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情况及疫情对企业生产的负面影响，采纳你单位陈述申辩意见，依据《中华人民共和国行政处罚法》第三十二条第（一）项的规定，决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依据《中华人民共和国大气污染防治法》第一百零八条第（一）项的规定，我局：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2.对你单位处罚款二万五千元。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，按照规定使用污染防治设施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7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960" w:rightChars="400" w:firstLine="5120" w:firstLineChars="1600"/>
        <w:jc w:val="both"/>
        <w:textAlignment w:val="auto"/>
        <w:rPr>
          <w:rFonts w:eastAsia="仿宋_GB2312"/>
          <w:color w:val="auto"/>
          <w:kern w:val="0"/>
          <w:sz w:val="32"/>
          <w:szCs w:val="32"/>
        </w:rPr>
      </w:pPr>
      <w:bookmarkStart w:id="4" w:name="PO_7_QianFaShiJian"/>
    </w:p>
    <w:p>
      <w:pPr>
        <w:keepNext w:val="0"/>
        <w:keepLines w:val="0"/>
        <w:pageBreakBefore w:val="0"/>
        <w:widowControl w:val="0"/>
        <w:kinsoku/>
        <w:wordWrap/>
        <w:overflowPunct/>
        <w:topLinePunct w:val="0"/>
        <w:autoSpaceDE/>
        <w:autoSpaceDN/>
        <w:bidi w:val="0"/>
        <w:adjustRightInd w:val="0"/>
        <w:snapToGrid w:val="0"/>
        <w:spacing w:line="57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960" w:rightChars="400" w:firstLine="5120" w:firstLineChars="1600"/>
        <w:jc w:val="both"/>
        <w:textAlignment w:val="auto"/>
        <w:rPr>
          <w:rFonts w:eastAsia="仿宋_GB2312"/>
          <w:color w:val="auto"/>
          <w:kern w:val="0"/>
          <w:sz w:val="28"/>
          <w:szCs w:val="28"/>
        </w:rPr>
      </w:pP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bookmarkEnd w:id="4"/>
      <w:r>
        <w:rPr>
          <w:rFonts w:hint="eastAsia" w:eastAsia="仿宋_GB2312"/>
          <w:color w:val="auto"/>
          <w:kern w:val="0"/>
          <w:sz w:val="32"/>
          <w:szCs w:val="32"/>
          <w:lang w:val="en-US" w:eastAsia="zh-CN"/>
        </w:rPr>
        <w:t>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7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70" w:lineRule="exact"/>
        <w:ind w:right="120"/>
        <w:textAlignment w:val="auto"/>
        <w:rPr>
          <w:rFonts w:eastAsia="仿宋_GB2312"/>
          <w:color w:val="auto"/>
          <w:kern w:val="0"/>
          <w:sz w:val="28"/>
          <w:szCs w:val="28"/>
        </w:rPr>
      </w:pPr>
      <w:bookmarkStart w:id="5" w:name="_GoBack"/>
      <w:bookmarkEnd w:id="5"/>
    </w:p>
    <w:p>
      <w:pPr>
        <w:keepNext w:val="0"/>
        <w:keepLines w:val="0"/>
        <w:pageBreakBefore w:val="0"/>
        <w:widowControl w:val="0"/>
        <w:tabs>
          <w:tab w:val="left" w:pos="9120"/>
        </w:tabs>
        <w:kinsoku/>
        <w:wordWrap/>
        <w:overflowPunct/>
        <w:topLinePunct w:val="0"/>
        <w:autoSpaceDE w:val="0"/>
        <w:autoSpaceDN w:val="0"/>
        <w:bidi w:val="0"/>
        <w:adjustRightInd w:val="0"/>
        <w:spacing w:line="57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51376DF"/>
    <w:rsid w:val="075524D7"/>
    <w:rsid w:val="07B93B0C"/>
    <w:rsid w:val="08A676E1"/>
    <w:rsid w:val="09114283"/>
    <w:rsid w:val="0A44520B"/>
    <w:rsid w:val="0BEA4C5E"/>
    <w:rsid w:val="0CAF362A"/>
    <w:rsid w:val="0CC90616"/>
    <w:rsid w:val="14A22454"/>
    <w:rsid w:val="173B33C8"/>
    <w:rsid w:val="1A3F25F1"/>
    <w:rsid w:val="1B552996"/>
    <w:rsid w:val="1BB8168D"/>
    <w:rsid w:val="1BC26D67"/>
    <w:rsid w:val="1CC54CEB"/>
    <w:rsid w:val="1F6A3919"/>
    <w:rsid w:val="2264289A"/>
    <w:rsid w:val="22AA1244"/>
    <w:rsid w:val="2378242F"/>
    <w:rsid w:val="25735D76"/>
    <w:rsid w:val="25EC6E63"/>
    <w:rsid w:val="26162D5B"/>
    <w:rsid w:val="27FC4468"/>
    <w:rsid w:val="2ABE5B1A"/>
    <w:rsid w:val="2CBF39D4"/>
    <w:rsid w:val="2E2D1CD7"/>
    <w:rsid w:val="2E7E4B4C"/>
    <w:rsid w:val="2F096FCE"/>
    <w:rsid w:val="30B45EB5"/>
    <w:rsid w:val="312C04D9"/>
    <w:rsid w:val="3BA70B39"/>
    <w:rsid w:val="3BE02B11"/>
    <w:rsid w:val="3C7636AF"/>
    <w:rsid w:val="3E516742"/>
    <w:rsid w:val="42BA1DF9"/>
    <w:rsid w:val="44236D5F"/>
    <w:rsid w:val="442F10A5"/>
    <w:rsid w:val="45DA766F"/>
    <w:rsid w:val="46843426"/>
    <w:rsid w:val="473A0DD5"/>
    <w:rsid w:val="47C66189"/>
    <w:rsid w:val="4A263D9A"/>
    <w:rsid w:val="4CA7559F"/>
    <w:rsid w:val="4D6435C2"/>
    <w:rsid w:val="4DF56AA7"/>
    <w:rsid w:val="51714379"/>
    <w:rsid w:val="51935037"/>
    <w:rsid w:val="521C5B03"/>
    <w:rsid w:val="53767495"/>
    <w:rsid w:val="53A13F8A"/>
    <w:rsid w:val="5794182D"/>
    <w:rsid w:val="586D4E7F"/>
    <w:rsid w:val="5A4853C7"/>
    <w:rsid w:val="5AC26DE0"/>
    <w:rsid w:val="5B5C731D"/>
    <w:rsid w:val="5C9F4A39"/>
    <w:rsid w:val="5D8D0D34"/>
    <w:rsid w:val="5DD022F3"/>
    <w:rsid w:val="5EC8235B"/>
    <w:rsid w:val="5ECD3BB6"/>
    <w:rsid w:val="61787F41"/>
    <w:rsid w:val="61FB1660"/>
    <w:rsid w:val="62C56728"/>
    <w:rsid w:val="63EC73E1"/>
    <w:rsid w:val="65465834"/>
    <w:rsid w:val="6AEC59B8"/>
    <w:rsid w:val="6B1F7E37"/>
    <w:rsid w:val="6BB25E33"/>
    <w:rsid w:val="6C1C590D"/>
    <w:rsid w:val="6E467E94"/>
    <w:rsid w:val="6EBB3C25"/>
    <w:rsid w:val="7029000B"/>
    <w:rsid w:val="70AC3779"/>
    <w:rsid w:val="71F76391"/>
    <w:rsid w:val="743631A3"/>
    <w:rsid w:val="759748AE"/>
    <w:rsid w:val="76716923"/>
    <w:rsid w:val="76A05966"/>
    <w:rsid w:val="7776441B"/>
    <w:rsid w:val="78B6471C"/>
    <w:rsid w:val="78D17E30"/>
    <w:rsid w:val="7E4C5E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1619</Words>
  <Characters>1723</Characters>
  <Lines>8</Lines>
  <Paragraphs>2</Paragraphs>
  <TotalTime>4</TotalTime>
  <ScaleCrop>false</ScaleCrop>
  <LinksUpToDate>false</LinksUpToDate>
  <CharactersWithSpaces>1747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2023-10-08T07:56:00Z</cp:lastPrinted>
  <dcterms:modified xsi:type="dcterms:W3CDTF">2023-10-10T01:32:26Z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730E82EB171946218D567F6F085AA7F6</vt:lpwstr>
  </property>
</Properties>
</file>