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113</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天津明磊钢化玻璃科技有限公司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91120225MA7E2JP55F</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天津市蓟州区经济开发区州河街18号5号车间</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丁沙</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我局于2023年</w:t>
      </w:r>
      <w:r>
        <w:rPr>
          <w:rFonts w:hint="eastAsia"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lang w:val="en-US" w:eastAsia="zh-CN"/>
        </w:rPr>
        <w:t>月1</w:t>
      </w:r>
      <w:r>
        <w:rPr>
          <w:rFonts w:hint="eastAsia" w:eastAsia="仿宋_GB2312" w:cs="Times New Roman"/>
          <w:color w:val="auto"/>
          <w:kern w:val="0"/>
          <w:sz w:val="32"/>
          <w:szCs w:val="32"/>
          <w:lang w:val="en-US" w:eastAsia="zh-CN"/>
        </w:rPr>
        <w:t>4</w:t>
      </w:r>
      <w:r>
        <w:rPr>
          <w:rFonts w:hint="eastAsia" w:ascii="Times New Roman" w:hAnsi="Times New Roman" w:eastAsia="仿宋_GB2312" w:cs="Times New Roman"/>
          <w:color w:val="auto"/>
          <w:kern w:val="0"/>
          <w:sz w:val="32"/>
          <w:szCs w:val="32"/>
          <w:lang w:val="en-US" w:eastAsia="zh-CN"/>
        </w:rPr>
        <w:t>日对你单位进行了调查。参考你单位《年133万平方米玻璃深加工项目建设项目环境影响报告表》及批复文件</w:t>
      </w:r>
      <w:r>
        <w:rPr>
          <w:rFonts w:hint="eastAsia" w:eastAsia="仿宋_GB2312" w:cs="Times New Roman"/>
          <w:color w:val="auto"/>
          <w:kern w:val="0"/>
          <w:sz w:val="32"/>
          <w:szCs w:val="32"/>
          <w:lang w:val="en-US" w:eastAsia="zh-CN"/>
        </w:rPr>
        <w:t>（蓟审批一〔2022〕58号）</w:t>
      </w:r>
      <w:r>
        <w:rPr>
          <w:rFonts w:hint="eastAsia" w:ascii="Times New Roman" w:hAnsi="Times New Roman" w:eastAsia="仿宋_GB2312" w:cs="Times New Roman"/>
          <w:color w:val="auto"/>
          <w:kern w:val="0"/>
          <w:sz w:val="32"/>
          <w:szCs w:val="32"/>
          <w:lang w:val="en-US" w:eastAsia="zh-CN"/>
        </w:rPr>
        <w:t>，你单位涂胶、封边工序产生含挥发性有机物废气，经生产设备上方集气罩收集后，</w:t>
      </w:r>
      <w:r>
        <w:rPr>
          <w:rFonts w:hint="eastAsia" w:eastAsia="仿宋_GB2312" w:cs="Times New Roman"/>
          <w:color w:val="auto"/>
          <w:kern w:val="0"/>
          <w:sz w:val="32"/>
          <w:szCs w:val="32"/>
          <w:lang w:val="en-US" w:eastAsia="zh-CN"/>
        </w:rPr>
        <w:t>由</w:t>
      </w:r>
      <w:r>
        <w:rPr>
          <w:rFonts w:hint="eastAsia" w:ascii="Times New Roman" w:hAnsi="Times New Roman" w:eastAsia="仿宋_GB2312" w:cs="Times New Roman"/>
          <w:color w:val="auto"/>
          <w:kern w:val="0"/>
          <w:sz w:val="32"/>
          <w:szCs w:val="32"/>
          <w:lang w:val="en-US" w:eastAsia="zh-CN"/>
        </w:rPr>
        <w:t>集气管道引到“2级活性炭箱吸附装置”进行处理后经一根15m高排气筒P1排放</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经调查，发现你单位实施了以下环境违法行为：</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现场检查时，你单位涂胶、封边工序正在作业，配套的大气污染防治设施“2级活性炭箱吸附装置”风机未开启。你单位上述行为属于产生含挥发性有机物废气的生产活动，未按照规定使用污染防治设施。</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以上事实，有</w:t>
      </w:r>
      <w:bookmarkStart w:id="3" w:name="PO_4_ShiShiZhengJu"/>
      <w:r>
        <w:rPr>
          <w:rFonts w:hint="eastAsia" w:ascii="Times New Roman" w:hAnsi="Times New Roman" w:eastAsia="仿宋_GB2312" w:cs="Times New Roman"/>
          <w:color w:val="auto"/>
          <w:kern w:val="0"/>
          <w:sz w:val="32"/>
          <w:szCs w:val="32"/>
          <w:lang w:val="en-US" w:eastAsia="zh-CN"/>
        </w:rPr>
        <w:t>《天津市生态环境局现场检查（勘察）笔录》《天津市生态环境局调查询问笔录》、</w:t>
      </w:r>
      <w:r>
        <w:rPr>
          <w:rFonts w:hint="eastAsia" w:eastAsia="仿宋_GB2312" w:cs="Times New Roman"/>
          <w:color w:val="auto"/>
          <w:kern w:val="0"/>
          <w:sz w:val="32"/>
          <w:szCs w:val="32"/>
          <w:lang w:val="en-US" w:eastAsia="zh-CN"/>
        </w:rPr>
        <w:t>你单位</w:t>
      </w:r>
      <w:r>
        <w:rPr>
          <w:rFonts w:hint="eastAsia" w:ascii="Times New Roman" w:hAnsi="Times New Roman" w:eastAsia="仿宋_GB2312" w:cs="Times New Roman"/>
          <w:color w:val="auto"/>
          <w:kern w:val="0"/>
          <w:sz w:val="32"/>
          <w:szCs w:val="32"/>
          <w:lang w:val="en-US" w:eastAsia="zh-CN"/>
        </w:rPr>
        <w:t>《年133万平方米玻璃深加工项目建设项目环境影响报告表》及批复文件</w:t>
      </w:r>
      <w:r>
        <w:rPr>
          <w:rFonts w:hint="eastAsia" w:eastAsia="仿宋_GB2312" w:cs="Times New Roman"/>
          <w:color w:val="auto"/>
          <w:kern w:val="0"/>
          <w:sz w:val="32"/>
          <w:szCs w:val="32"/>
          <w:lang w:val="en-US" w:eastAsia="zh-CN"/>
        </w:rPr>
        <w:t>（蓟审批一〔2022〕58号）</w:t>
      </w:r>
      <w:r>
        <w:rPr>
          <w:rFonts w:hint="eastAsia" w:ascii="Times New Roman" w:hAnsi="Times New Roman" w:eastAsia="仿宋_GB2312" w:cs="Times New Roman"/>
          <w:color w:val="auto"/>
          <w:kern w:val="0"/>
          <w:sz w:val="32"/>
          <w:szCs w:val="32"/>
          <w:lang w:val="en-US" w:eastAsia="zh-CN"/>
        </w:rPr>
        <w:t>、现场拍摄的视频以及营业执照复印件</w:t>
      </w:r>
      <w:bookmarkEnd w:id="3"/>
      <w:r>
        <w:rPr>
          <w:rFonts w:hint="eastAsia" w:ascii="Times New Roman" w:hAnsi="Times New Roman" w:eastAsia="仿宋_GB2312" w:cs="Times New Roman"/>
          <w:color w:val="auto"/>
          <w:kern w:val="0"/>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你单位上述行为违反了</w:t>
      </w:r>
      <w:r>
        <w:rPr>
          <w:rFonts w:hint="default" w:ascii="Times New Roman" w:hAnsi="Times New Roman" w:eastAsia="仿宋_GB2312" w:cs="Times New Roman"/>
          <w:color w:val="auto"/>
          <w:kern w:val="0"/>
          <w:sz w:val="32"/>
          <w:szCs w:val="32"/>
          <w:lang w:val="en-US" w:eastAsia="zh-CN"/>
        </w:rPr>
        <w:t>《中华人民共和国大气污染防治法》第四十五条</w:t>
      </w:r>
      <w:r>
        <w:rPr>
          <w:rFonts w:hint="eastAsia" w:ascii="Times New Roman" w:hAnsi="Times New Roman" w:eastAsia="仿宋_GB2312" w:cs="Times New Roman"/>
          <w:color w:val="auto"/>
          <w:kern w:val="0"/>
          <w:sz w:val="32"/>
          <w:szCs w:val="32"/>
          <w:lang w:val="en-US" w:eastAsia="zh-CN"/>
        </w:rPr>
        <w:t>的规定，</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57</w:t>
      </w:r>
      <w:r>
        <w:rPr>
          <w:rFonts w:eastAsia="仿宋_GB2312"/>
          <w:color w:val="auto"/>
          <w:kern w:val="0"/>
          <w:sz w:val="32"/>
          <w:szCs w:val="32"/>
        </w:rPr>
        <w:t>号），告知你单位违法事实、处罚依据和拟作出的处罚决定，并明确告知你单位有权进行陈述</w:t>
      </w:r>
      <w:r>
        <w:rPr>
          <w:rFonts w:hint="eastAsia" w:eastAsia="仿宋_GB2312"/>
          <w:color w:val="auto"/>
          <w:kern w:val="0"/>
          <w:sz w:val="32"/>
          <w:szCs w:val="32"/>
        </w:rPr>
        <w:t>、申辩</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5</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5</w:t>
      </w:r>
      <w:r>
        <w:rPr>
          <w:rFonts w:hint="eastAsia" w:eastAsia="仿宋_GB2312"/>
          <w:color w:val="auto"/>
          <w:kern w:val="0"/>
          <w:sz w:val="32"/>
          <w:szCs w:val="32"/>
        </w:rPr>
        <w:t>日，你单位向我局提交陈述申辩意见如下：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lang w:eastAsia="zh-CN"/>
        </w:rPr>
      </w:pPr>
      <w:r>
        <w:rPr>
          <w:rFonts w:hint="eastAsia" w:eastAsia="仿宋_GB2312"/>
          <w:color w:val="auto"/>
          <w:kern w:val="0"/>
          <w:sz w:val="32"/>
          <w:szCs w:val="32"/>
        </w:rPr>
        <w:t>1</w:t>
      </w:r>
      <w:r>
        <w:rPr>
          <w:rFonts w:eastAsia="仿宋_GB2312"/>
          <w:color w:val="auto"/>
          <w:kern w:val="0"/>
          <w:sz w:val="32"/>
          <w:szCs w:val="32"/>
        </w:rPr>
        <w:t>.</w:t>
      </w:r>
      <w:r>
        <w:rPr>
          <w:rFonts w:hint="eastAsia" w:eastAsia="仿宋_GB2312"/>
          <w:color w:val="auto"/>
          <w:kern w:val="0"/>
          <w:sz w:val="32"/>
          <w:szCs w:val="32"/>
          <w:lang w:eastAsia="zh-CN"/>
        </w:rPr>
        <w:t>公司人员变化大，未及时发现风机跳闸，查明原因后立即开启了设施，未造成重大环境影响；</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lang w:eastAsia="zh-CN"/>
        </w:rPr>
      </w:pPr>
      <w:r>
        <w:rPr>
          <w:rFonts w:hint="eastAsia" w:eastAsia="仿宋_GB2312"/>
          <w:color w:val="auto"/>
          <w:kern w:val="0"/>
          <w:sz w:val="32"/>
          <w:szCs w:val="32"/>
        </w:rPr>
        <w:t>2.</w:t>
      </w:r>
      <w:r>
        <w:rPr>
          <w:rFonts w:hint="eastAsia" w:eastAsia="仿宋_GB2312"/>
          <w:color w:val="auto"/>
          <w:kern w:val="0"/>
          <w:sz w:val="32"/>
          <w:szCs w:val="32"/>
          <w:lang w:val="en-US" w:eastAsia="zh-CN"/>
        </w:rPr>
        <w:t>受近</w:t>
      </w:r>
      <w:r>
        <w:rPr>
          <w:rFonts w:hint="eastAsia" w:eastAsia="仿宋_GB2312"/>
          <w:color w:val="auto"/>
          <w:kern w:val="0"/>
          <w:sz w:val="32"/>
          <w:szCs w:val="32"/>
        </w:rPr>
        <w:t>年疫情影响，企业经营</w:t>
      </w:r>
      <w:r>
        <w:rPr>
          <w:rFonts w:hint="eastAsia" w:eastAsia="仿宋_GB2312"/>
          <w:color w:val="auto"/>
          <w:kern w:val="0"/>
          <w:sz w:val="32"/>
          <w:szCs w:val="32"/>
          <w:lang w:eastAsia="zh-CN"/>
        </w:rPr>
        <w:t>困难</w:t>
      </w:r>
      <w:r>
        <w:rPr>
          <w:rFonts w:hint="eastAsia" w:eastAsia="仿宋_GB2312"/>
          <w:color w:val="auto"/>
          <w:kern w:val="0"/>
          <w:sz w:val="32"/>
          <w:szCs w:val="32"/>
          <w:lang w:val="en-US" w:eastAsia="zh-CN"/>
        </w:rPr>
        <w:t>，</w:t>
      </w:r>
      <w:r>
        <w:rPr>
          <w:rFonts w:hint="eastAsia" w:eastAsia="仿宋_GB2312"/>
          <w:color w:val="auto"/>
          <w:kern w:val="0"/>
          <w:sz w:val="32"/>
          <w:szCs w:val="32"/>
          <w:lang w:eastAsia="zh-CN"/>
        </w:rPr>
        <w:t>申请</w:t>
      </w:r>
      <w:r>
        <w:rPr>
          <w:rFonts w:hint="eastAsia" w:eastAsia="仿宋_GB2312"/>
          <w:color w:val="auto"/>
          <w:kern w:val="0"/>
          <w:sz w:val="32"/>
          <w:szCs w:val="32"/>
        </w:rPr>
        <w:t>减免</w:t>
      </w:r>
      <w:r>
        <w:rPr>
          <w:rFonts w:hint="eastAsia" w:eastAsia="仿宋_GB2312"/>
          <w:color w:val="auto"/>
          <w:kern w:val="0"/>
          <w:sz w:val="32"/>
          <w:szCs w:val="32"/>
          <w:lang w:eastAsia="zh-CN"/>
        </w:rPr>
        <w:t>处罚</w:t>
      </w:r>
      <w:r>
        <w:rPr>
          <w:rFonts w:hint="eastAsia"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57</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你单位提交的陈述申辩不影响违法事实认定，</w:t>
      </w:r>
      <w:r>
        <w:rPr>
          <w:rFonts w:hint="eastAsia" w:eastAsia="仿宋_GB2312"/>
          <w:color w:val="auto"/>
          <w:kern w:val="0"/>
          <w:sz w:val="32"/>
          <w:szCs w:val="32"/>
          <w:lang w:val="en-US" w:eastAsia="zh-CN"/>
        </w:rPr>
        <w:t>考虑你单位积极整改违法行为和疫情对你单位的影响，采纳你单位陈述申辩意见，对你单位进行帮扶，依据《中华人民共和国行政处罚法》第三十二条第（一）项的规定，从轻处罚。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ascii="Times New Roman" w:hAnsi="Times New Roman" w:eastAsia="仿宋_GB2312" w:cs="Times New Roman"/>
          <w:color w:val="auto"/>
          <w:kern w:val="0"/>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ascii="Times New Roman" w:hAnsi="Times New Roman" w:eastAsia="仿宋_GB2312" w:cs="Times New Roman"/>
          <w:color w:val="auto"/>
          <w:kern w:val="0"/>
          <w:sz w:val="32"/>
          <w:szCs w:val="32"/>
          <w:lang w:val="en-US" w:eastAsia="zh-CN"/>
        </w:rPr>
        <w:t>立即改正</w:t>
      </w:r>
      <w:r>
        <w:rPr>
          <w:rFonts w:hint="default" w:ascii="Times New Roman" w:hAnsi="Times New Roman" w:eastAsia="仿宋_GB2312" w:cs="Times New Roman"/>
          <w:color w:val="auto"/>
          <w:kern w:val="0"/>
          <w:sz w:val="32"/>
          <w:szCs w:val="32"/>
          <w:lang w:val="en-US" w:eastAsia="zh-CN"/>
        </w:rPr>
        <w:t>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三</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sz w:val="32"/>
          <w:szCs w:val="32"/>
          <w:lang w:val="en-US" w:eastAsia="zh-CN"/>
        </w:rPr>
        <w:t>按照规定使用配套的大气污染防治设施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4</w:t>
      </w:r>
      <w:r>
        <w:rPr>
          <w:rFonts w:eastAsia="仿宋_GB2312"/>
          <w:color w:val="auto"/>
          <w:kern w:val="0"/>
          <w:sz w:val="32"/>
          <w:szCs w:val="32"/>
        </w:rPr>
        <w:t>日</w:t>
      </w:r>
    </w:p>
    <w:p>
      <w:pPr>
        <w:adjustRightInd w:val="0"/>
        <w:snapToGrid w:val="0"/>
        <w:spacing w:line="360" w:lineRule="auto"/>
        <w:jc w:val="center"/>
        <w:rPr>
          <w:rFonts w:eastAsia="仿宋_GB2312"/>
          <w:color w:val="auto"/>
          <w:kern w:val="0"/>
          <w:sz w:val="32"/>
          <w:szCs w:val="32"/>
        </w:rPr>
      </w:pPr>
    </w:p>
    <w:p>
      <w:pPr>
        <w:tabs>
          <w:tab w:val="left" w:pos="9120"/>
        </w:tabs>
        <w:autoSpaceDE w:val="0"/>
        <w:autoSpaceDN w:val="0"/>
        <w:adjustRightInd w:val="0"/>
        <w:ind w:right="120"/>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3F00D5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4285757"/>
    <w:rsid w:val="16FD0578"/>
    <w:rsid w:val="23D96EAA"/>
    <w:rsid w:val="2A1A666F"/>
    <w:rsid w:val="2D8321C2"/>
    <w:rsid w:val="3214796D"/>
    <w:rsid w:val="3B1E1345"/>
    <w:rsid w:val="450F61CB"/>
    <w:rsid w:val="4A3E05CE"/>
    <w:rsid w:val="4A437691"/>
    <w:rsid w:val="4BD91CDD"/>
    <w:rsid w:val="502F15FB"/>
    <w:rsid w:val="503F23C3"/>
    <w:rsid w:val="51935037"/>
    <w:rsid w:val="553A03CB"/>
    <w:rsid w:val="58763D60"/>
    <w:rsid w:val="5BDF2ED1"/>
    <w:rsid w:val="5F7C4535"/>
    <w:rsid w:val="624F5E3E"/>
    <w:rsid w:val="6404560A"/>
    <w:rsid w:val="64F75746"/>
    <w:rsid w:val="66B216B2"/>
    <w:rsid w:val="679D04BA"/>
    <w:rsid w:val="6851522E"/>
    <w:rsid w:val="6A5031C7"/>
    <w:rsid w:val="72330BA4"/>
    <w:rsid w:val="73744CD2"/>
    <w:rsid w:val="73F00D5E"/>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7861;&#21046;&#23457;&#26680;\&#25191;&#27861;&#24635;&#38431;&#34892;&#25919;&#22788;&#32602;&#25991;&#20070;&#27169;&#26495;2022.12&#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1557</Words>
  <Characters>1667</Characters>
  <Lines>8</Lines>
  <Paragraphs>2</Paragraphs>
  <TotalTime>2</TotalTime>
  <ScaleCrop>false</ScaleCrop>
  <LinksUpToDate>false</LinksUpToDate>
  <CharactersWithSpaces>1796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2023-06-29T07:16:00Z</dcterms:created>
  <dc:creator>何敏</dc:creator>
  <cp:lastModifiedBy>何敏</cp:lastModifiedBy>
  <cp:lastPrinted>2023-07-05T02:31:00Z</cp:lastPrinted>
  <dcterms:modified xsi:type="dcterms:W3CDTF">2023-07-06T01:03:20Z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1BF14C14964F45A18D1788EA606A92F4_13</vt:lpwstr>
  </property>
</Properties>
</file>