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line="760" w:lineRule="exact"/>
        <w:ind w:right="-23"/>
        <w:jc w:val="center"/>
        <w:textAlignment w:val="auto"/>
        <w:rPr>
          <w:rFonts w:eastAsia="方正小标宋简体"/>
          <w:color w:val="auto"/>
          <w:kern w:val="0"/>
          <w:sz w:val="44"/>
          <w:szCs w:val="44"/>
        </w:rPr>
      </w:pPr>
      <w:bookmarkStart w:id="0" w:name="PO_2_DanWeiMingCheng"/>
      <w:bookmarkStart w:id="1" w:name="PO_2_ChuFaAnZi"/>
      <w:r>
        <w:rPr>
          <w:rFonts w:eastAsia="方正小标宋简体"/>
          <w:color w:val="auto"/>
          <w:kern w:val="0"/>
          <w:sz w:val="44"/>
          <w:szCs w:val="44"/>
        </w:rPr>
        <w:t>天津市生态环境局</w:t>
      </w:r>
      <w:bookmarkEnd w:id="0"/>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760" w:lineRule="exact"/>
        <w:ind w:right="-119"/>
        <w:jc w:val="center"/>
        <w:textAlignment w:val="auto"/>
        <w:rPr>
          <w:rFonts w:eastAsia="方正小标宋简体"/>
          <w:color w:val="auto"/>
          <w:spacing w:val="1"/>
          <w:kern w:val="0"/>
          <w:sz w:val="44"/>
          <w:szCs w:val="44"/>
        </w:rPr>
      </w:pPr>
      <w:r>
        <w:rPr>
          <w:rFonts w:eastAsia="方正小标宋简体"/>
          <w:color w:val="auto"/>
          <w:spacing w:val="1"/>
          <w:kern w:val="0"/>
          <w:sz w:val="44"/>
          <w:szCs w:val="44"/>
        </w:rPr>
        <w:t>行政处</w:t>
      </w:r>
      <w:r>
        <w:rPr>
          <w:rFonts w:eastAsia="方正小标宋简体"/>
          <w:color w:val="auto"/>
          <w:kern w:val="0"/>
          <w:sz w:val="44"/>
          <w:szCs w:val="44"/>
        </w:rPr>
        <w:t>罚决</w:t>
      </w:r>
      <w:r>
        <w:rPr>
          <w:rFonts w:eastAsia="方正小标宋简体"/>
          <w:color w:val="auto"/>
          <w:spacing w:val="1"/>
          <w:kern w:val="0"/>
          <w:sz w:val="44"/>
          <w:szCs w:val="44"/>
        </w:rPr>
        <w:t>定书</w:t>
      </w: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360" w:lineRule="auto"/>
        <w:ind w:right="-119"/>
        <w:jc w:val="both"/>
        <w:textAlignment w:val="auto"/>
        <w:rPr>
          <w:rFonts w:eastAsia="仿宋_GB2312"/>
          <w:color w:val="auto"/>
          <w:spacing w:val="1"/>
          <w:kern w:val="0"/>
          <w:position w:val="-2"/>
          <w:sz w:val="32"/>
          <w:szCs w:val="32"/>
        </w:rPr>
      </w:pPr>
    </w:p>
    <w:p>
      <w:pPr>
        <w:tabs>
          <w:tab w:val="left" w:pos="4600"/>
        </w:tabs>
        <w:autoSpaceDE w:val="0"/>
        <w:autoSpaceDN w:val="0"/>
        <w:adjustRightInd w:val="0"/>
        <w:snapToGrid w:val="0"/>
        <w:spacing w:line="360" w:lineRule="auto"/>
        <w:ind w:right="-119"/>
        <w:jc w:val="center"/>
        <w:rPr>
          <w:rFonts w:eastAsia="仿宋_GB2312"/>
          <w:color w:val="auto"/>
          <w:kern w:val="0"/>
          <w:position w:val="-2"/>
          <w:sz w:val="32"/>
          <w:szCs w:val="32"/>
        </w:rPr>
      </w:pPr>
      <w:r>
        <w:rPr>
          <w:rFonts w:eastAsia="仿宋_GB2312"/>
          <w:color w:val="auto"/>
          <w:spacing w:val="1"/>
          <w:kern w:val="0"/>
          <w:position w:val="-2"/>
          <w:sz w:val="32"/>
          <w:szCs w:val="32"/>
        </w:rPr>
        <w:t>津市</w:t>
      </w:r>
      <w:bookmarkEnd w:id="1"/>
      <w:r>
        <w:rPr>
          <w:rFonts w:eastAsia="仿宋_GB2312"/>
          <w:color w:val="auto"/>
          <w:spacing w:val="1"/>
          <w:kern w:val="0"/>
          <w:position w:val="-2"/>
          <w:sz w:val="32"/>
          <w:szCs w:val="32"/>
        </w:rPr>
        <w:t>环罚字</w:t>
      </w:r>
      <w:bookmarkStart w:id="2" w:name="PO_7_NianDuBianHao"/>
      <w:r>
        <w:rPr>
          <w:rFonts w:eastAsia="仿宋_GB2312"/>
          <w:color w:val="auto"/>
          <w:kern w:val="0"/>
          <w:position w:val="-2"/>
          <w:sz w:val="32"/>
          <w:szCs w:val="32"/>
        </w:rPr>
        <w:t>〔20</w:t>
      </w:r>
      <w:bookmarkEnd w:id="2"/>
      <w:r>
        <w:rPr>
          <w:rFonts w:hint="eastAsia" w:eastAsia="仿宋_GB2312"/>
          <w:color w:val="auto"/>
          <w:kern w:val="0"/>
          <w:position w:val="-2"/>
          <w:sz w:val="32"/>
          <w:szCs w:val="32"/>
          <w:lang w:val="en-US" w:eastAsia="zh-CN"/>
        </w:rPr>
        <w:t>23</w:t>
      </w:r>
      <w:r>
        <w:rPr>
          <w:rFonts w:eastAsia="仿宋_GB2312"/>
          <w:color w:val="auto"/>
          <w:kern w:val="0"/>
          <w:position w:val="-2"/>
          <w:sz w:val="32"/>
          <w:szCs w:val="32"/>
        </w:rPr>
        <w:t>〕</w:t>
      </w:r>
      <w:r>
        <w:rPr>
          <w:rFonts w:hint="eastAsia" w:eastAsia="仿宋_GB2312"/>
          <w:color w:val="auto"/>
          <w:kern w:val="0"/>
          <w:sz w:val="32"/>
          <w:szCs w:val="32"/>
          <w:lang w:val="en-US" w:eastAsia="zh-CN"/>
        </w:rPr>
        <w:t>99</w:t>
      </w:r>
      <w:r>
        <w:rPr>
          <w:rFonts w:eastAsia="仿宋_GB2312"/>
          <w:color w:val="auto"/>
          <w:kern w:val="0"/>
          <w:position w:val="-2"/>
          <w:sz w:val="32"/>
          <w:szCs w:val="32"/>
        </w:rPr>
        <w:t>号</w:t>
      </w:r>
    </w:p>
    <w:p>
      <w:pPr>
        <w:tabs>
          <w:tab w:val="left" w:pos="4600"/>
        </w:tabs>
        <w:autoSpaceDE w:val="0"/>
        <w:autoSpaceDN w:val="0"/>
        <w:adjustRightInd w:val="0"/>
        <w:snapToGrid w:val="0"/>
        <w:spacing w:line="360" w:lineRule="auto"/>
        <w:ind w:right="-119"/>
        <w:jc w:val="center"/>
        <w:rPr>
          <w:rFonts w:eastAsia="仿宋_GB2312"/>
          <w:color w:val="auto"/>
          <w:kern w:val="0"/>
          <w:position w:val="-2"/>
          <w:sz w:val="32"/>
          <w:szCs w:val="32"/>
        </w:rPr>
      </w:pPr>
    </w:p>
    <w:p>
      <w:pPr>
        <w:keepNext w:val="0"/>
        <w:keepLines w:val="0"/>
        <w:pageBreakBefore w:val="0"/>
        <w:widowControl w:val="0"/>
        <w:tabs>
          <w:tab w:val="left" w:pos="520"/>
          <w:tab w:val="left" w:pos="1880"/>
          <w:tab w:val="left" w:pos="2940"/>
          <w:tab w:val="left" w:pos="5360"/>
          <w:tab w:val="left" w:pos="5980"/>
          <w:tab w:val="left" w:pos="6300"/>
          <w:tab w:val="left" w:pos="6400"/>
          <w:tab w:val="left" w:pos="8940"/>
        </w:tabs>
        <w:kinsoku/>
        <w:wordWrap/>
        <w:overflowPunct/>
        <w:topLinePunct w:val="0"/>
        <w:autoSpaceDE w:val="0"/>
        <w:autoSpaceDN w:val="0"/>
        <w:bidi w:val="0"/>
        <w:adjustRightInd w:val="0"/>
        <w:snapToGrid w:val="0"/>
        <w:spacing w:line="560" w:lineRule="exact"/>
        <w:jc w:val="both"/>
        <w:textAlignment w:val="auto"/>
        <w:rPr>
          <w:rFonts w:eastAsia="仿宋_GB2312"/>
          <w:color w:val="auto"/>
          <w:kern w:val="0"/>
          <w:sz w:val="32"/>
          <w:szCs w:val="32"/>
        </w:rPr>
      </w:pPr>
      <w:r>
        <w:rPr>
          <w:rFonts w:hint="eastAsia" w:eastAsia="仿宋_GB2312"/>
          <w:color w:val="auto"/>
          <w:kern w:val="0"/>
          <w:sz w:val="32"/>
          <w:szCs w:val="32"/>
          <w:lang w:val="en-US" w:eastAsia="zh-CN"/>
        </w:rPr>
        <w:t>天津市宁河县精益金属机件加工厂（邵瑞山）</w:t>
      </w:r>
      <w:r>
        <w:rPr>
          <w:rFonts w:eastAsia="仿宋_GB2312"/>
          <w:color w:val="auto"/>
          <w:kern w:val="0"/>
          <w:sz w:val="32"/>
          <w:szCs w:val="32"/>
        </w:rPr>
        <w:t>：</w:t>
      </w:r>
    </w:p>
    <w:p>
      <w:pPr>
        <w:keepNext w:val="0"/>
        <w:keepLines w:val="0"/>
        <w:pageBreakBefore w:val="0"/>
        <w:widowControl w:val="0"/>
        <w:tabs>
          <w:tab w:val="left" w:pos="520"/>
          <w:tab w:val="left" w:pos="1880"/>
          <w:tab w:val="left" w:pos="2940"/>
          <w:tab w:val="left" w:pos="6565"/>
          <w:tab w:val="left" w:pos="6640"/>
          <w:tab w:val="left" w:pos="8940"/>
        </w:tabs>
        <w:kinsoku/>
        <w:wordWrap/>
        <w:overflowPunct/>
        <w:topLinePunct w:val="0"/>
        <w:autoSpaceDE w:val="0"/>
        <w:autoSpaceDN w:val="0"/>
        <w:bidi w:val="0"/>
        <w:adjustRightInd w:val="0"/>
        <w:snapToGrid w:val="0"/>
        <w:spacing w:line="560" w:lineRule="exact"/>
        <w:jc w:val="both"/>
        <w:textAlignment w:val="auto"/>
        <w:rPr>
          <w:rFonts w:hint="eastAsia" w:eastAsia="仿宋_GB2312"/>
          <w:color w:val="auto"/>
          <w:kern w:val="0"/>
          <w:sz w:val="32"/>
          <w:szCs w:val="32"/>
        </w:rPr>
      </w:pPr>
      <w:r>
        <w:rPr>
          <w:rFonts w:eastAsia="仿宋_GB2312"/>
          <w:color w:val="auto"/>
          <w:kern w:val="0"/>
          <w:sz w:val="32"/>
          <w:szCs w:val="32"/>
        </w:rPr>
        <w:t>统一社会信用代码：</w:t>
      </w:r>
      <w:r>
        <w:rPr>
          <w:rFonts w:hint="eastAsia" w:eastAsia="仿宋_GB2312"/>
          <w:color w:val="auto"/>
          <w:kern w:val="0"/>
          <w:sz w:val="32"/>
          <w:szCs w:val="32"/>
          <w:lang w:val="en-US" w:eastAsia="zh-CN"/>
        </w:rPr>
        <w:t>91120221X00821386T</w:t>
      </w:r>
    </w:p>
    <w:p>
      <w:pPr>
        <w:keepNext w:val="0"/>
        <w:keepLines w:val="0"/>
        <w:pageBreakBefore w:val="0"/>
        <w:widowControl w:val="0"/>
        <w:tabs>
          <w:tab w:val="left" w:pos="520"/>
          <w:tab w:val="left" w:pos="1880"/>
          <w:tab w:val="left" w:pos="2940"/>
          <w:tab w:val="left" w:pos="6565"/>
          <w:tab w:val="left" w:pos="6640"/>
          <w:tab w:val="left" w:pos="8940"/>
        </w:tabs>
        <w:kinsoku/>
        <w:wordWrap/>
        <w:overflowPunct/>
        <w:topLinePunct w:val="0"/>
        <w:autoSpaceDE w:val="0"/>
        <w:autoSpaceDN w:val="0"/>
        <w:bidi w:val="0"/>
        <w:adjustRightInd w:val="0"/>
        <w:snapToGrid w:val="0"/>
        <w:spacing w:line="560" w:lineRule="exact"/>
        <w:jc w:val="both"/>
        <w:textAlignment w:val="auto"/>
        <w:rPr>
          <w:rFonts w:hint="eastAsia" w:eastAsia="仿宋_GB2312"/>
          <w:color w:val="auto"/>
          <w:kern w:val="0"/>
          <w:sz w:val="32"/>
          <w:szCs w:val="32"/>
        </w:rPr>
      </w:pPr>
      <w:r>
        <w:rPr>
          <w:rFonts w:eastAsia="仿宋_GB2312"/>
          <w:color w:val="auto"/>
          <w:kern w:val="0"/>
          <w:sz w:val="32"/>
          <w:szCs w:val="32"/>
        </w:rPr>
        <w:t>地址：</w:t>
      </w:r>
      <w:r>
        <w:rPr>
          <w:rFonts w:hint="eastAsia" w:eastAsia="仿宋_GB2312"/>
          <w:color w:val="auto"/>
          <w:kern w:val="0"/>
          <w:sz w:val="32"/>
          <w:szCs w:val="32"/>
          <w:lang w:eastAsia="zh-CN"/>
        </w:rPr>
        <w:t>天</w:t>
      </w:r>
      <w:r>
        <w:rPr>
          <w:rFonts w:hint="eastAsia" w:eastAsia="仿宋_GB2312"/>
          <w:color w:val="auto"/>
          <w:kern w:val="0"/>
          <w:sz w:val="32"/>
          <w:szCs w:val="32"/>
          <w:lang w:val="en-US" w:eastAsia="zh-CN"/>
        </w:rPr>
        <w:t>津市宁河区大北镇大北村</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560" w:lineRule="exact"/>
        <w:jc w:val="both"/>
        <w:textAlignment w:val="auto"/>
        <w:rPr>
          <w:rFonts w:hint="eastAsia" w:eastAsia="仿宋_GB2312"/>
          <w:color w:val="auto"/>
          <w:kern w:val="0"/>
          <w:sz w:val="32"/>
          <w:szCs w:val="32"/>
        </w:rPr>
      </w:pPr>
      <w:r>
        <w:rPr>
          <w:rFonts w:hint="eastAsia" w:eastAsia="仿宋_GB2312"/>
          <w:color w:val="auto"/>
          <w:kern w:val="0"/>
          <w:sz w:val="32"/>
          <w:szCs w:val="32"/>
          <w:lang w:val="en-US" w:eastAsia="zh-CN"/>
        </w:rPr>
        <w:t>投资人：邵瑞山</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560" w:lineRule="exact"/>
        <w:jc w:val="both"/>
        <w:textAlignment w:val="auto"/>
        <w:rPr>
          <w:rFonts w:eastAsia="仿宋_GB2312"/>
          <w:color w:val="auto"/>
          <w:kern w:val="0"/>
          <w:sz w:val="32"/>
          <w:szCs w:val="32"/>
        </w:rPr>
      </w:pPr>
      <w:r>
        <w:rPr>
          <w:rFonts w:eastAsia="仿宋_GB2312"/>
          <w:color w:val="auto"/>
          <w:kern w:val="0"/>
          <w:sz w:val="32"/>
          <w:szCs w:val="32"/>
        </w:rPr>
        <w:t xml:space="preserve">    你单位环境违法</w:t>
      </w:r>
      <w:r>
        <w:rPr>
          <w:rFonts w:eastAsia="仿宋_GB2312"/>
          <w:color w:val="auto"/>
          <w:kern w:val="0"/>
          <w:position w:val="-2"/>
          <w:sz w:val="32"/>
          <w:szCs w:val="32"/>
        </w:rPr>
        <w:t>一案，我局经调查，现已审查终结。</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eastAsia="黑体"/>
          <w:color w:val="auto"/>
          <w:kern w:val="0"/>
          <w:sz w:val="32"/>
          <w:szCs w:val="32"/>
        </w:rPr>
      </w:pPr>
      <w:r>
        <w:rPr>
          <w:rFonts w:eastAsia="黑体"/>
          <w:color w:val="auto"/>
          <w:kern w:val="0"/>
          <w:sz w:val="32"/>
          <w:szCs w:val="32"/>
        </w:rPr>
        <w:t>一、调查情况及发现的环境违法事实、证据和陈述申辩（听证）及采纳情况</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eastAsia="仿宋_GB2312"/>
          <w:color w:val="auto"/>
          <w:sz w:val="32"/>
          <w:szCs w:val="32"/>
          <w:lang w:val="en-US" w:eastAsia="zh-CN"/>
        </w:rPr>
      </w:pPr>
      <w:r>
        <w:rPr>
          <w:rFonts w:hint="eastAsia" w:eastAsia="仿宋_GB2312"/>
          <w:color w:val="auto"/>
          <w:sz w:val="32"/>
          <w:szCs w:val="32"/>
          <w:lang w:val="en-US" w:eastAsia="zh-CN"/>
        </w:rPr>
        <w:t>我局于2023年3月22日对你单位进行了调查，参考你单位《排污许可证副本》（证书编号：91120221X00821386T001Q），你单位台式电阻炉运行时产生颗粒物，集气罩收集后经水浴除尘设施处理后通过15米高排气筒排放。经调查，发现你单位实施了以下环境违法行为：</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eastAsia="仿宋_GB2312"/>
          <w:color w:val="auto"/>
          <w:sz w:val="32"/>
          <w:szCs w:val="32"/>
          <w:lang w:val="en-US" w:eastAsia="zh-CN"/>
        </w:rPr>
      </w:pPr>
      <w:r>
        <w:rPr>
          <w:rFonts w:hint="eastAsia" w:eastAsia="仿宋_GB2312"/>
          <w:color w:val="auto"/>
          <w:sz w:val="32"/>
          <w:szCs w:val="32"/>
          <w:lang w:val="en-US" w:eastAsia="zh-CN"/>
        </w:rPr>
        <w:t>执法人员现场检查时，你单位浇筑车间正在生产，浇筑车间内4台台式电阻炉正在进行烘干作业，配套的“喷淋塔+布袋除尘器”未运行，处于未通电状态，风机未运行；浇筑车间大门处于敞开状态，未关闭。你单位上述行为属于未按照规定使用大气污染防治设施。</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eastAsia="仿宋_GB2312"/>
          <w:color w:val="auto"/>
          <w:sz w:val="32"/>
          <w:szCs w:val="32"/>
        </w:rPr>
      </w:pPr>
      <w:r>
        <w:rPr>
          <w:rFonts w:hint="eastAsia" w:eastAsia="仿宋_GB2312"/>
          <w:color w:val="auto"/>
          <w:sz w:val="32"/>
          <w:szCs w:val="32"/>
          <w:lang w:val="en-US" w:eastAsia="zh-CN"/>
        </w:rPr>
        <w:t>以上事实，有</w:t>
      </w:r>
      <w:bookmarkStart w:id="3" w:name="PO_4_ShiShiZhengJu"/>
      <w:r>
        <w:rPr>
          <w:rFonts w:hint="eastAsia" w:eastAsia="仿宋_GB2312"/>
          <w:color w:val="auto"/>
          <w:sz w:val="32"/>
          <w:szCs w:val="32"/>
          <w:lang w:val="en-US" w:eastAsia="zh-CN"/>
        </w:rPr>
        <w:t>《天津市生态环境局现场检查（勘察）笔录》《天津市生态环境局调查询问笔录》、你单位提供的《天津市宁河县精益金属机件加工厂环境影响整改分析报告》《排污许可证副本》（证书编号：91120221X00821386T001Q）、现场拍摄的视频以及营业执照复印件</w:t>
      </w:r>
      <w:bookmarkEnd w:id="3"/>
      <w:r>
        <w:rPr>
          <w:rFonts w:hint="eastAsia" w:eastAsia="仿宋_GB2312"/>
          <w:color w:val="auto"/>
          <w:sz w:val="32"/>
          <w:szCs w:val="32"/>
          <w:lang w:val="en-US" w:eastAsia="zh-CN"/>
        </w:rPr>
        <w:t>等证据为凭。</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eastAsia="仿宋_GB2312"/>
          <w:color w:val="auto"/>
          <w:kern w:val="0"/>
          <w:sz w:val="32"/>
          <w:szCs w:val="32"/>
        </w:rPr>
      </w:pPr>
      <w:r>
        <w:rPr>
          <w:rFonts w:eastAsia="仿宋_GB2312"/>
          <w:color w:val="auto"/>
          <w:sz w:val="32"/>
          <w:szCs w:val="32"/>
        </w:rPr>
        <w:t>你单位上述行为违反了</w:t>
      </w:r>
      <w:r>
        <w:rPr>
          <w:rFonts w:hint="eastAsia" w:eastAsia="仿宋_GB2312"/>
          <w:color w:val="auto"/>
          <w:sz w:val="32"/>
          <w:szCs w:val="32"/>
          <w:lang w:val="en-US" w:eastAsia="zh-CN"/>
        </w:rPr>
        <w:t>《天津市大气污染防治条例》第十九条第一款的规定</w:t>
      </w:r>
      <w:r>
        <w:rPr>
          <w:rFonts w:eastAsia="仿宋_GB2312"/>
          <w:color w:val="auto"/>
          <w:kern w:val="0"/>
          <w:sz w:val="32"/>
          <w:szCs w:val="32"/>
        </w:rPr>
        <w:t>，依法应当予以处罚。</w:t>
      </w:r>
    </w:p>
    <w:p>
      <w:pPr>
        <w:keepNext w:val="0"/>
        <w:keepLines w:val="0"/>
        <w:pageBreakBefore w:val="0"/>
        <w:widowControl w:val="0"/>
        <w:tabs>
          <w:tab w:val="left" w:pos="1260"/>
          <w:tab w:val="left" w:pos="1880"/>
          <w:tab w:val="left" w:pos="2420"/>
          <w:tab w:val="left" w:pos="3040"/>
          <w:tab w:val="left" w:pos="7895"/>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eastAsia="仿宋_GB2312" w:cs="Times New Roman"/>
          <w:color w:val="auto"/>
          <w:kern w:val="2"/>
          <w:sz w:val="32"/>
          <w:szCs w:val="32"/>
          <w:lang w:val="en-US" w:eastAsia="zh-CN" w:bidi="ar-SA"/>
        </w:rPr>
      </w:pPr>
      <w:r>
        <w:rPr>
          <w:rFonts w:eastAsia="仿宋_GB2312"/>
          <w:color w:val="auto"/>
          <w:kern w:val="0"/>
          <w:sz w:val="32"/>
          <w:szCs w:val="32"/>
        </w:rPr>
        <w:t>我局于20</w:t>
      </w:r>
      <w:r>
        <w:rPr>
          <w:rFonts w:hint="eastAsia" w:eastAsia="仿宋_GB2312"/>
          <w:color w:val="auto"/>
          <w:kern w:val="0"/>
          <w:sz w:val="32"/>
          <w:szCs w:val="32"/>
          <w:lang w:val="en-US" w:eastAsia="zh-CN"/>
        </w:rPr>
        <w:t>23</w:t>
      </w:r>
      <w:r>
        <w:rPr>
          <w:rFonts w:eastAsia="仿宋_GB2312"/>
          <w:color w:val="auto"/>
          <w:kern w:val="0"/>
          <w:sz w:val="32"/>
          <w:szCs w:val="32"/>
        </w:rPr>
        <w:t>年</w:t>
      </w:r>
      <w:r>
        <w:rPr>
          <w:rFonts w:hint="eastAsia" w:eastAsia="仿宋_GB2312"/>
          <w:color w:val="auto"/>
          <w:kern w:val="0"/>
          <w:sz w:val="32"/>
          <w:szCs w:val="32"/>
          <w:lang w:val="en-US" w:eastAsia="zh-CN"/>
        </w:rPr>
        <w:t>5</w:t>
      </w:r>
      <w:r>
        <w:rPr>
          <w:rFonts w:eastAsia="仿宋_GB2312"/>
          <w:color w:val="auto"/>
          <w:kern w:val="0"/>
          <w:sz w:val="32"/>
          <w:szCs w:val="32"/>
        </w:rPr>
        <w:t>月</w:t>
      </w:r>
      <w:r>
        <w:rPr>
          <w:rFonts w:hint="eastAsia" w:eastAsia="仿宋_GB2312"/>
          <w:color w:val="auto"/>
          <w:kern w:val="0"/>
          <w:sz w:val="32"/>
          <w:szCs w:val="32"/>
          <w:lang w:val="en-US" w:eastAsia="zh-CN"/>
        </w:rPr>
        <w:t>5</w:t>
      </w:r>
      <w:r>
        <w:rPr>
          <w:rFonts w:eastAsia="仿宋_GB2312"/>
          <w:color w:val="auto"/>
          <w:kern w:val="0"/>
          <w:sz w:val="32"/>
          <w:szCs w:val="32"/>
        </w:rPr>
        <w:t>日以《天津市生态环境局行政处罚</w:t>
      </w:r>
      <w:r>
        <w:rPr>
          <w:rFonts w:hint="eastAsia" w:eastAsia="仿宋_GB2312"/>
          <w:color w:val="auto"/>
          <w:kern w:val="0"/>
          <w:sz w:val="32"/>
          <w:szCs w:val="32"/>
          <w:lang w:eastAsia="zh-CN"/>
        </w:rPr>
        <w:t>听证</w:t>
      </w:r>
      <w:r>
        <w:rPr>
          <w:rFonts w:eastAsia="仿宋_GB2312"/>
          <w:color w:val="auto"/>
          <w:kern w:val="0"/>
          <w:sz w:val="32"/>
          <w:szCs w:val="32"/>
        </w:rPr>
        <w:t>告知书》（津市环</w:t>
      </w:r>
      <w:r>
        <w:rPr>
          <w:rFonts w:hint="eastAsia" w:eastAsia="仿宋_GB2312"/>
          <w:color w:val="auto"/>
          <w:kern w:val="0"/>
          <w:sz w:val="32"/>
          <w:szCs w:val="32"/>
          <w:lang w:eastAsia="zh-CN"/>
        </w:rPr>
        <w:t>听</w:t>
      </w:r>
      <w:r>
        <w:rPr>
          <w:rFonts w:eastAsia="仿宋_GB2312"/>
          <w:color w:val="auto"/>
          <w:kern w:val="0"/>
          <w:sz w:val="32"/>
          <w:szCs w:val="32"/>
        </w:rPr>
        <w:t>告字〔20</w:t>
      </w:r>
      <w:r>
        <w:rPr>
          <w:rFonts w:hint="eastAsia" w:eastAsia="仿宋_GB2312"/>
          <w:color w:val="auto"/>
          <w:kern w:val="0"/>
          <w:sz w:val="32"/>
          <w:szCs w:val="32"/>
          <w:lang w:val="en-US" w:eastAsia="zh-CN"/>
        </w:rPr>
        <w:t>23</w:t>
      </w:r>
      <w:r>
        <w:rPr>
          <w:rFonts w:eastAsia="仿宋_GB2312"/>
          <w:color w:val="auto"/>
          <w:kern w:val="0"/>
          <w:sz w:val="32"/>
          <w:szCs w:val="32"/>
        </w:rPr>
        <w:t>〕</w:t>
      </w:r>
      <w:r>
        <w:rPr>
          <w:rFonts w:hint="eastAsia" w:eastAsia="仿宋_GB2312"/>
          <w:color w:val="auto"/>
          <w:kern w:val="0"/>
          <w:sz w:val="32"/>
          <w:szCs w:val="32"/>
          <w:lang w:val="en-US" w:eastAsia="zh-CN"/>
        </w:rPr>
        <w:t>46</w:t>
      </w:r>
      <w:r>
        <w:rPr>
          <w:rFonts w:eastAsia="仿宋_GB2312"/>
          <w:color w:val="auto"/>
          <w:kern w:val="0"/>
          <w:sz w:val="32"/>
          <w:szCs w:val="32"/>
        </w:rPr>
        <w:t>号），告知你单位违法事实、处罚依据和拟作出的处罚决定，并明确告知你单位有权进行陈述、申辩</w:t>
      </w:r>
      <w:r>
        <w:rPr>
          <w:rFonts w:hint="eastAsia" w:eastAsia="仿宋_GB2312"/>
          <w:color w:val="auto"/>
          <w:kern w:val="0"/>
          <w:sz w:val="32"/>
          <w:szCs w:val="32"/>
          <w:lang w:eastAsia="zh-CN"/>
        </w:rPr>
        <w:t>和申请听证</w:t>
      </w:r>
      <w:r>
        <w:rPr>
          <w:rFonts w:eastAsia="仿宋_GB2312"/>
          <w:color w:val="auto"/>
          <w:kern w:val="0"/>
          <w:sz w:val="32"/>
          <w:szCs w:val="32"/>
        </w:rPr>
        <w:t>。</w:t>
      </w:r>
      <w:r>
        <w:rPr>
          <w:rFonts w:hint="eastAsia" w:eastAsia="仿宋_GB2312"/>
          <w:color w:val="auto"/>
          <w:kern w:val="0"/>
          <w:sz w:val="32"/>
          <w:szCs w:val="32"/>
        </w:rPr>
        <w:t>我局于20</w:t>
      </w:r>
      <w:r>
        <w:rPr>
          <w:rFonts w:hint="eastAsia" w:eastAsia="仿宋_GB2312"/>
          <w:color w:val="auto"/>
          <w:kern w:val="0"/>
          <w:sz w:val="32"/>
          <w:szCs w:val="32"/>
          <w:lang w:val="en-US" w:eastAsia="zh-CN"/>
        </w:rPr>
        <w:t>23</w:t>
      </w:r>
      <w:r>
        <w:rPr>
          <w:rFonts w:hint="eastAsia" w:eastAsia="仿宋_GB2312"/>
          <w:color w:val="auto"/>
          <w:kern w:val="0"/>
          <w:sz w:val="32"/>
          <w:szCs w:val="32"/>
        </w:rPr>
        <w:t>年</w:t>
      </w:r>
      <w:r>
        <w:rPr>
          <w:rFonts w:hint="eastAsia" w:eastAsia="仿宋_GB2312"/>
          <w:color w:val="auto"/>
          <w:kern w:val="0"/>
          <w:sz w:val="32"/>
          <w:szCs w:val="32"/>
          <w:lang w:val="en-US" w:eastAsia="zh-CN"/>
        </w:rPr>
        <w:t>5</w:t>
      </w:r>
      <w:r>
        <w:rPr>
          <w:rFonts w:hint="eastAsia" w:eastAsia="仿宋_GB2312"/>
          <w:color w:val="auto"/>
          <w:kern w:val="0"/>
          <w:sz w:val="32"/>
          <w:szCs w:val="32"/>
        </w:rPr>
        <w:t>月</w:t>
      </w:r>
      <w:r>
        <w:rPr>
          <w:rFonts w:hint="eastAsia" w:eastAsia="仿宋_GB2312"/>
          <w:color w:val="auto"/>
          <w:kern w:val="0"/>
          <w:sz w:val="32"/>
          <w:szCs w:val="32"/>
          <w:lang w:val="en-US" w:eastAsia="zh-CN"/>
        </w:rPr>
        <w:t>9</w:t>
      </w:r>
      <w:r>
        <w:rPr>
          <w:rFonts w:hint="eastAsia" w:eastAsia="仿宋_GB2312"/>
          <w:color w:val="auto"/>
          <w:kern w:val="0"/>
          <w:sz w:val="32"/>
          <w:szCs w:val="32"/>
        </w:rPr>
        <w:t>日向你单位</w:t>
      </w:r>
      <w:r>
        <w:rPr>
          <w:rFonts w:hint="eastAsia" w:eastAsia="仿宋_GB2312"/>
          <w:color w:val="auto"/>
          <w:kern w:val="0"/>
          <w:sz w:val="32"/>
          <w:szCs w:val="32"/>
          <w:lang w:val="en-US" w:eastAsia="zh-CN"/>
        </w:rPr>
        <w:t>直接</w:t>
      </w:r>
      <w:r>
        <w:rPr>
          <w:rFonts w:hint="eastAsia" w:eastAsia="仿宋_GB2312"/>
          <w:color w:val="auto"/>
          <w:kern w:val="0"/>
          <w:sz w:val="32"/>
          <w:szCs w:val="32"/>
        </w:rPr>
        <w:t>送达上述文件，你单位于当日签收。你单位逾期未向我局提出陈述申辩意见</w:t>
      </w:r>
      <w:r>
        <w:rPr>
          <w:rFonts w:hint="eastAsia" w:eastAsia="仿宋_GB2312"/>
          <w:color w:val="auto"/>
          <w:kern w:val="0"/>
          <w:sz w:val="32"/>
          <w:szCs w:val="32"/>
          <w:lang w:eastAsia="zh-CN"/>
        </w:rPr>
        <w:t>，也未申请听证</w:t>
      </w:r>
      <w:r>
        <w:rPr>
          <w:rFonts w:hint="eastAsia" w:eastAsia="仿宋_GB2312" w:cs="Times New Roman"/>
          <w:color w:val="auto"/>
          <w:kern w:val="2"/>
          <w:sz w:val="32"/>
          <w:szCs w:val="32"/>
          <w:lang w:val="en-US" w:eastAsia="zh-CN" w:bidi="ar-SA"/>
        </w:rPr>
        <w:t>。</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eastAsia="仿宋_GB2312"/>
          <w:color w:val="auto"/>
          <w:kern w:val="0"/>
          <w:sz w:val="32"/>
          <w:szCs w:val="32"/>
        </w:rPr>
      </w:pPr>
      <w:r>
        <w:rPr>
          <w:rFonts w:eastAsia="仿宋_GB2312"/>
          <w:color w:val="auto"/>
          <w:kern w:val="0"/>
          <w:sz w:val="32"/>
          <w:szCs w:val="32"/>
        </w:rPr>
        <w:t>以上事实，有《天津市生态环境局行政处罚</w:t>
      </w:r>
      <w:r>
        <w:rPr>
          <w:rFonts w:hint="eastAsia" w:eastAsia="仿宋_GB2312"/>
          <w:color w:val="auto"/>
          <w:kern w:val="0"/>
          <w:sz w:val="32"/>
          <w:szCs w:val="32"/>
          <w:lang w:eastAsia="zh-CN"/>
        </w:rPr>
        <w:t>听证</w:t>
      </w:r>
      <w:r>
        <w:rPr>
          <w:rFonts w:eastAsia="仿宋_GB2312"/>
          <w:color w:val="auto"/>
          <w:kern w:val="0"/>
          <w:sz w:val="32"/>
          <w:szCs w:val="32"/>
        </w:rPr>
        <w:t>告知书》（津市环</w:t>
      </w:r>
      <w:r>
        <w:rPr>
          <w:rFonts w:hint="eastAsia" w:eastAsia="仿宋_GB2312"/>
          <w:color w:val="auto"/>
          <w:kern w:val="0"/>
          <w:sz w:val="32"/>
          <w:szCs w:val="32"/>
          <w:lang w:eastAsia="zh-CN"/>
        </w:rPr>
        <w:t>听</w:t>
      </w:r>
      <w:r>
        <w:rPr>
          <w:rFonts w:eastAsia="仿宋_GB2312"/>
          <w:color w:val="auto"/>
          <w:kern w:val="0"/>
          <w:sz w:val="32"/>
          <w:szCs w:val="32"/>
        </w:rPr>
        <w:t>告字〔20</w:t>
      </w:r>
      <w:r>
        <w:rPr>
          <w:rFonts w:hint="eastAsia" w:eastAsia="仿宋_GB2312"/>
          <w:color w:val="auto"/>
          <w:kern w:val="0"/>
          <w:sz w:val="32"/>
          <w:szCs w:val="32"/>
          <w:lang w:val="en-US" w:eastAsia="zh-CN"/>
        </w:rPr>
        <w:t>23</w:t>
      </w:r>
      <w:r>
        <w:rPr>
          <w:rFonts w:eastAsia="仿宋_GB2312"/>
          <w:color w:val="auto"/>
          <w:kern w:val="0"/>
          <w:sz w:val="32"/>
          <w:szCs w:val="32"/>
        </w:rPr>
        <w:t>〕</w:t>
      </w:r>
      <w:r>
        <w:rPr>
          <w:rFonts w:hint="eastAsia" w:eastAsia="仿宋_GB2312"/>
          <w:color w:val="auto"/>
          <w:kern w:val="0"/>
          <w:sz w:val="32"/>
          <w:szCs w:val="32"/>
          <w:lang w:val="en-US" w:eastAsia="zh-CN"/>
        </w:rPr>
        <w:t>46</w:t>
      </w:r>
      <w:r>
        <w:rPr>
          <w:rFonts w:eastAsia="仿宋_GB2312"/>
          <w:color w:val="auto"/>
          <w:kern w:val="0"/>
          <w:sz w:val="32"/>
          <w:szCs w:val="32"/>
        </w:rPr>
        <w:t>号）</w:t>
      </w:r>
      <w:r>
        <w:rPr>
          <w:rFonts w:hint="eastAsia" w:eastAsia="仿宋_GB2312"/>
          <w:color w:val="auto"/>
          <w:kern w:val="0"/>
          <w:sz w:val="32"/>
          <w:szCs w:val="32"/>
        </w:rPr>
        <w:t>及《</w:t>
      </w:r>
      <w:r>
        <w:rPr>
          <w:rFonts w:eastAsia="仿宋_GB2312"/>
          <w:color w:val="auto"/>
          <w:kern w:val="0"/>
          <w:sz w:val="32"/>
          <w:szCs w:val="32"/>
        </w:rPr>
        <w:t>天津市生态环境局</w:t>
      </w:r>
      <w:r>
        <w:rPr>
          <w:rFonts w:hint="eastAsia" w:eastAsia="仿宋_GB2312"/>
          <w:color w:val="auto"/>
          <w:kern w:val="0"/>
          <w:sz w:val="32"/>
          <w:szCs w:val="32"/>
        </w:rPr>
        <w:t>送达回证》</w:t>
      </w:r>
      <w:r>
        <w:rPr>
          <w:rFonts w:eastAsia="仿宋_GB2312"/>
          <w:color w:val="auto"/>
          <w:kern w:val="0"/>
          <w:sz w:val="32"/>
          <w:szCs w:val="32"/>
        </w:rPr>
        <w:t>等证据为凭。</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hint="default" w:eastAsia="仿宋_GB2312"/>
          <w:color w:val="auto"/>
          <w:kern w:val="0"/>
          <w:sz w:val="32"/>
          <w:szCs w:val="32"/>
          <w:lang w:val="en-US" w:eastAsia="zh-CN"/>
        </w:rPr>
      </w:pPr>
      <w:r>
        <w:rPr>
          <w:rFonts w:hint="eastAsia" w:eastAsia="仿宋_GB2312"/>
          <w:color w:val="auto"/>
          <w:kern w:val="0"/>
          <w:sz w:val="32"/>
          <w:szCs w:val="32"/>
          <w:lang w:val="en-US" w:eastAsia="zh-CN"/>
        </w:rPr>
        <w:t>经局负责人集体审议，本案违法事实清楚、执法程序合法、法律适用准确、处罚幅度裁量合理。</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eastAsia="黑体"/>
          <w:color w:val="auto"/>
          <w:kern w:val="0"/>
          <w:sz w:val="32"/>
          <w:szCs w:val="32"/>
        </w:rPr>
      </w:pPr>
      <w:r>
        <w:rPr>
          <w:rFonts w:eastAsia="黑体"/>
          <w:color w:val="auto"/>
          <w:kern w:val="0"/>
          <w:sz w:val="32"/>
          <w:szCs w:val="32"/>
        </w:rPr>
        <w:t>二、</w:t>
      </w:r>
      <w:r>
        <w:rPr>
          <w:rFonts w:hint="eastAsia" w:eastAsia="黑体"/>
          <w:color w:val="auto"/>
          <w:kern w:val="0"/>
          <w:sz w:val="32"/>
          <w:szCs w:val="32"/>
        </w:rPr>
        <w:t>责令改正和行政处罚的依据、种类</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eastAsia="仿宋_GB2312"/>
          <w:color w:val="auto"/>
          <w:kern w:val="0"/>
          <w:sz w:val="32"/>
          <w:szCs w:val="32"/>
          <w:lang w:eastAsia="zh-CN"/>
        </w:rPr>
      </w:pPr>
      <w:r>
        <w:rPr>
          <w:rFonts w:eastAsia="仿宋_GB2312"/>
          <w:color w:val="auto"/>
          <w:kern w:val="0"/>
          <w:sz w:val="32"/>
          <w:szCs w:val="32"/>
        </w:rPr>
        <w:t>依据</w:t>
      </w:r>
      <w:r>
        <w:rPr>
          <w:rFonts w:hint="eastAsia" w:eastAsia="仿宋_GB2312"/>
          <w:color w:val="auto"/>
          <w:kern w:val="0"/>
          <w:sz w:val="32"/>
          <w:szCs w:val="32"/>
          <w:lang w:val="en-US" w:eastAsia="zh-CN"/>
        </w:rPr>
        <w:t>《天津市大气污染防治条例》第七十七条第（二）项</w:t>
      </w:r>
      <w:r>
        <w:rPr>
          <w:rFonts w:hint="eastAsia" w:eastAsia="仿宋_GB2312"/>
          <w:color w:val="auto"/>
          <w:kern w:val="0"/>
          <w:sz w:val="32"/>
          <w:szCs w:val="32"/>
        </w:rPr>
        <w:t>的</w:t>
      </w:r>
      <w:r>
        <w:rPr>
          <w:rFonts w:eastAsia="仿宋_GB2312"/>
          <w:color w:val="auto"/>
          <w:kern w:val="0"/>
          <w:sz w:val="32"/>
          <w:szCs w:val="32"/>
        </w:rPr>
        <w:t>规定</w:t>
      </w:r>
      <w:r>
        <w:rPr>
          <w:rFonts w:hint="eastAsia" w:eastAsia="仿宋_GB2312"/>
          <w:color w:val="auto"/>
          <w:kern w:val="0"/>
          <w:sz w:val="32"/>
          <w:szCs w:val="32"/>
          <w:lang w:eastAsia="zh-CN"/>
        </w:rPr>
        <w:t>，我局：</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eastAsia="仿宋_GB2312"/>
          <w:color w:val="auto"/>
          <w:kern w:val="0"/>
          <w:sz w:val="32"/>
          <w:szCs w:val="32"/>
          <w:lang w:eastAsia="zh-CN"/>
        </w:rPr>
      </w:pPr>
      <w:r>
        <w:rPr>
          <w:rFonts w:eastAsia="仿宋_GB2312"/>
          <w:color w:val="auto"/>
          <w:kern w:val="0"/>
          <w:sz w:val="32"/>
          <w:szCs w:val="32"/>
        </w:rPr>
        <w:t>1.</w:t>
      </w:r>
      <w:r>
        <w:rPr>
          <w:rFonts w:hint="eastAsia" w:eastAsia="仿宋_GB2312"/>
          <w:color w:val="auto"/>
          <w:sz w:val="32"/>
          <w:szCs w:val="32"/>
          <w:lang w:val="en-US" w:eastAsia="zh-CN"/>
        </w:rPr>
        <w:t>责令你单位立即改正违法行为；</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eastAsia="仿宋_GB2312"/>
          <w:color w:val="auto"/>
          <w:kern w:val="0"/>
          <w:sz w:val="32"/>
          <w:szCs w:val="32"/>
        </w:rPr>
      </w:pPr>
      <w:r>
        <w:rPr>
          <w:rFonts w:hint="eastAsia" w:eastAsia="仿宋_GB2312"/>
          <w:color w:val="auto"/>
          <w:kern w:val="0"/>
          <w:sz w:val="32"/>
          <w:szCs w:val="32"/>
        </w:rPr>
        <w:t>2</w:t>
      </w:r>
      <w:r>
        <w:rPr>
          <w:rFonts w:eastAsia="仿宋_GB2312"/>
          <w:color w:val="auto"/>
          <w:kern w:val="0"/>
          <w:sz w:val="32"/>
          <w:szCs w:val="32"/>
        </w:rPr>
        <w:t>.</w:t>
      </w:r>
      <w:r>
        <w:rPr>
          <w:rFonts w:hint="eastAsia" w:eastAsia="仿宋_GB2312"/>
          <w:color w:val="auto"/>
          <w:kern w:val="0"/>
          <w:sz w:val="32"/>
          <w:szCs w:val="32"/>
          <w:lang w:eastAsia="zh-CN"/>
        </w:rPr>
        <w:t>对你单位</w:t>
      </w:r>
      <w:r>
        <w:rPr>
          <w:rFonts w:eastAsia="仿宋_GB2312"/>
          <w:color w:val="auto"/>
          <w:kern w:val="0"/>
          <w:sz w:val="32"/>
          <w:szCs w:val="32"/>
        </w:rPr>
        <w:t>处罚款</w:t>
      </w:r>
      <w:r>
        <w:rPr>
          <w:rFonts w:hint="eastAsia" w:eastAsia="仿宋_GB2312"/>
          <w:color w:val="auto"/>
          <w:kern w:val="0"/>
          <w:sz w:val="32"/>
          <w:szCs w:val="32"/>
          <w:lang w:val="en-US" w:eastAsia="zh-CN"/>
        </w:rPr>
        <w:t>三万</w:t>
      </w:r>
      <w:r>
        <w:rPr>
          <w:rFonts w:eastAsia="仿宋_GB2312"/>
          <w:color w:val="auto"/>
          <w:kern w:val="0"/>
          <w:sz w:val="32"/>
          <w:szCs w:val="32"/>
        </w:rPr>
        <w:t>元。</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eastAsia="黑体"/>
          <w:color w:val="auto"/>
          <w:kern w:val="0"/>
          <w:sz w:val="32"/>
          <w:szCs w:val="32"/>
        </w:rPr>
      </w:pPr>
      <w:r>
        <w:rPr>
          <w:rFonts w:eastAsia="黑体"/>
          <w:color w:val="auto"/>
          <w:kern w:val="0"/>
          <w:sz w:val="32"/>
          <w:szCs w:val="32"/>
        </w:rPr>
        <w:t>三、</w:t>
      </w:r>
      <w:r>
        <w:rPr>
          <w:rFonts w:hint="eastAsia" w:eastAsia="黑体"/>
          <w:color w:val="auto"/>
          <w:kern w:val="0"/>
          <w:sz w:val="32"/>
          <w:szCs w:val="32"/>
        </w:rPr>
        <w:t>责令改正和</w:t>
      </w:r>
      <w:r>
        <w:rPr>
          <w:rFonts w:eastAsia="黑体"/>
          <w:color w:val="auto"/>
          <w:kern w:val="0"/>
          <w:sz w:val="32"/>
          <w:szCs w:val="32"/>
        </w:rPr>
        <w:t>处罚决定的履行方式和期限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ascii="楷体" w:hAnsi="楷体" w:eastAsia="楷体"/>
          <w:color w:val="auto"/>
          <w:kern w:val="0"/>
          <w:sz w:val="32"/>
          <w:szCs w:val="32"/>
        </w:rPr>
      </w:pPr>
      <w:r>
        <w:rPr>
          <w:rFonts w:ascii="楷体" w:hAnsi="楷体" w:eastAsia="楷体"/>
          <w:color w:val="auto"/>
          <w:kern w:val="0"/>
          <w:sz w:val="32"/>
          <w:szCs w:val="32"/>
        </w:rPr>
        <w:t>（一）关于责令改正的履行方式和期限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eastAsia="仿宋_GB2312"/>
          <w:color w:val="auto"/>
          <w:kern w:val="0"/>
          <w:sz w:val="32"/>
          <w:szCs w:val="32"/>
        </w:rPr>
      </w:pPr>
      <w:r>
        <w:rPr>
          <w:rFonts w:eastAsia="仿宋_GB2312"/>
          <w:color w:val="auto"/>
          <w:kern w:val="0"/>
          <w:sz w:val="32"/>
          <w:szCs w:val="32"/>
        </w:rPr>
        <w:t>你单位应于接到本</w:t>
      </w:r>
      <w:r>
        <w:rPr>
          <w:rFonts w:hint="eastAsia" w:eastAsia="仿宋_GB2312"/>
          <w:color w:val="auto"/>
          <w:kern w:val="0"/>
          <w:sz w:val="32"/>
          <w:szCs w:val="32"/>
          <w:lang w:val="en-US" w:eastAsia="zh-CN"/>
        </w:rPr>
        <w:t>处罚</w:t>
      </w:r>
      <w:r>
        <w:rPr>
          <w:rFonts w:eastAsia="仿宋_GB2312"/>
          <w:color w:val="auto"/>
          <w:kern w:val="0"/>
          <w:sz w:val="32"/>
          <w:szCs w:val="32"/>
        </w:rPr>
        <w:t>决定书之日起</w:t>
      </w:r>
      <w:r>
        <w:rPr>
          <w:rFonts w:hint="eastAsia" w:eastAsia="仿宋_GB2312"/>
          <w:color w:val="auto"/>
          <w:kern w:val="0"/>
          <w:sz w:val="32"/>
          <w:szCs w:val="32"/>
          <w:lang w:val="en-US" w:eastAsia="zh-CN"/>
        </w:rPr>
        <w:t>立即</w:t>
      </w:r>
      <w:r>
        <w:rPr>
          <w:rFonts w:eastAsia="仿宋_GB2312"/>
          <w:color w:val="auto"/>
          <w:kern w:val="0"/>
          <w:sz w:val="32"/>
          <w:szCs w:val="32"/>
        </w:rPr>
        <w:t>改正违法行为</w:t>
      </w:r>
      <w:r>
        <w:rPr>
          <w:rFonts w:hint="eastAsia" w:eastAsia="仿宋_GB2312"/>
          <w:color w:val="auto"/>
          <w:kern w:val="0"/>
          <w:sz w:val="32"/>
          <w:szCs w:val="32"/>
          <w:lang w:eastAsia="zh-CN"/>
        </w:rPr>
        <w:t>，</w:t>
      </w:r>
      <w:r>
        <w:rPr>
          <w:rFonts w:hint="eastAsia" w:eastAsia="仿宋_GB2312"/>
          <w:color w:val="auto"/>
          <w:kern w:val="0"/>
          <w:sz w:val="32"/>
          <w:szCs w:val="32"/>
          <w:lang w:val="en-US" w:eastAsia="zh-CN"/>
        </w:rPr>
        <w:t>并按照规定使用大气污染防治设施</w:t>
      </w:r>
      <w:r>
        <w:rPr>
          <w:rFonts w:eastAsia="仿宋_GB2312"/>
          <w:color w:val="auto"/>
          <w:kern w:val="0"/>
          <w:sz w:val="32"/>
          <w:szCs w:val="32"/>
        </w:rPr>
        <w:t>。</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ascii="楷体" w:hAnsi="楷体" w:eastAsia="楷体"/>
          <w:color w:val="auto"/>
          <w:kern w:val="0"/>
          <w:sz w:val="32"/>
          <w:szCs w:val="32"/>
        </w:rPr>
      </w:pPr>
      <w:r>
        <w:rPr>
          <w:rFonts w:ascii="楷体" w:hAnsi="楷体" w:eastAsia="楷体"/>
          <w:color w:val="auto"/>
          <w:kern w:val="0"/>
          <w:sz w:val="32"/>
          <w:szCs w:val="32"/>
        </w:rPr>
        <w:t>（二）关于</w:t>
      </w:r>
      <w:r>
        <w:rPr>
          <w:rFonts w:hint="eastAsia" w:ascii="楷体" w:hAnsi="楷体" w:eastAsia="楷体"/>
          <w:color w:val="auto"/>
          <w:kern w:val="0"/>
          <w:sz w:val="32"/>
          <w:szCs w:val="32"/>
          <w:lang w:eastAsia="zh-CN"/>
        </w:rPr>
        <w:t>处罚决定</w:t>
      </w:r>
      <w:r>
        <w:rPr>
          <w:rFonts w:ascii="楷体" w:hAnsi="楷体" w:eastAsia="楷体"/>
          <w:color w:val="auto"/>
          <w:kern w:val="0"/>
          <w:sz w:val="32"/>
          <w:szCs w:val="32"/>
        </w:rPr>
        <w:t>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eastAsia="仿宋_GB2312"/>
          <w:color w:val="auto"/>
          <w:kern w:val="0"/>
          <w:sz w:val="32"/>
          <w:szCs w:val="32"/>
        </w:rPr>
      </w:pPr>
      <w:r>
        <w:rPr>
          <w:rFonts w:hint="eastAsia" w:eastAsia="仿宋_GB2312"/>
          <w:color w:val="auto"/>
          <w:kern w:val="0"/>
          <w:sz w:val="32"/>
          <w:szCs w:val="32"/>
        </w:rPr>
        <w:t>依据</w:t>
      </w:r>
      <w:r>
        <w:rPr>
          <w:rFonts w:eastAsia="仿宋_GB2312"/>
          <w:color w:val="auto"/>
          <w:kern w:val="0"/>
          <w:sz w:val="32"/>
          <w:szCs w:val="32"/>
        </w:rPr>
        <w:t>《中华人民共和国行政处罚法》和《罚款决定与罚款收缴分离实施办法》的规定，你单位应于接到本处罚决定书之日起十五日内，到我局领取</w:t>
      </w:r>
      <w:r>
        <w:rPr>
          <w:rFonts w:hint="eastAsia" w:eastAsia="仿宋_GB2312"/>
          <w:color w:val="auto"/>
          <w:kern w:val="0"/>
          <w:sz w:val="32"/>
          <w:szCs w:val="32"/>
        </w:rPr>
        <w:t>《非税收入统一缴款书（缴款通知书）》</w:t>
      </w:r>
      <w:r>
        <w:rPr>
          <w:rFonts w:eastAsia="仿宋_GB2312"/>
          <w:color w:val="auto"/>
          <w:kern w:val="0"/>
          <w:sz w:val="32"/>
          <w:szCs w:val="32"/>
        </w:rPr>
        <w:t>并缴至指定银行。</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eastAsia="仿宋_GB2312"/>
          <w:color w:val="auto"/>
          <w:kern w:val="0"/>
          <w:sz w:val="32"/>
          <w:szCs w:val="32"/>
        </w:rPr>
      </w:pPr>
      <w:r>
        <w:rPr>
          <w:rFonts w:eastAsia="仿宋_GB2312"/>
          <w:color w:val="auto"/>
          <w:kern w:val="0"/>
          <w:sz w:val="32"/>
          <w:szCs w:val="32"/>
        </w:rPr>
        <w:t>你单位逾期不缴纳罚款的，我局</w:t>
      </w:r>
      <w:r>
        <w:rPr>
          <w:rFonts w:hint="eastAsia" w:eastAsia="仿宋_GB2312"/>
          <w:color w:val="auto"/>
          <w:kern w:val="0"/>
          <w:sz w:val="32"/>
          <w:szCs w:val="32"/>
          <w:lang w:val="en-US" w:eastAsia="zh-CN"/>
        </w:rPr>
        <w:t>可以</w:t>
      </w:r>
      <w:r>
        <w:rPr>
          <w:rFonts w:eastAsia="仿宋_GB2312"/>
          <w:color w:val="auto"/>
          <w:kern w:val="0"/>
          <w:sz w:val="32"/>
          <w:szCs w:val="32"/>
        </w:rPr>
        <w:t>依法每日按罚款数额的3%加处罚款。</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720" w:firstLineChars="225"/>
        <w:jc w:val="both"/>
        <w:textAlignment w:val="auto"/>
        <w:rPr>
          <w:rFonts w:eastAsia="黑体"/>
          <w:color w:val="auto"/>
          <w:kern w:val="0"/>
          <w:sz w:val="32"/>
          <w:szCs w:val="32"/>
          <w:u w:val="single"/>
        </w:rPr>
      </w:pPr>
      <w:r>
        <w:rPr>
          <w:rFonts w:eastAsia="黑体"/>
          <w:color w:val="auto"/>
          <w:kern w:val="0"/>
          <w:sz w:val="32"/>
          <w:szCs w:val="32"/>
        </w:rPr>
        <w:t>四、申请行政复议或者提起行政诉讼的途径和期限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eastAsia="仿宋_GB2312"/>
          <w:color w:val="auto"/>
          <w:kern w:val="0"/>
          <w:sz w:val="32"/>
          <w:szCs w:val="32"/>
        </w:rPr>
      </w:pPr>
      <w:r>
        <w:rPr>
          <w:rFonts w:eastAsia="仿宋_GB2312"/>
          <w:color w:val="auto"/>
          <w:kern w:val="0"/>
          <w:sz w:val="32"/>
          <w:szCs w:val="32"/>
        </w:rPr>
        <w:t>如对本处罚决定不服，可在收到本处罚决定书之日起六十日内向中华人民共和国生态环境部或者向天津市人民政府申请复议，也可在六个月内直接向天津铁路运输法院起诉。</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right="0" w:firstLine="640" w:firstLineChars="200"/>
        <w:jc w:val="both"/>
        <w:textAlignment w:val="auto"/>
        <w:rPr>
          <w:rFonts w:eastAsia="仿宋_GB2312"/>
          <w:color w:val="auto"/>
          <w:kern w:val="0"/>
          <w:sz w:val="32"/>
          <w:szCs w:val="32"/>
        </w:rPr>
      </w:pPr>
      <w:r>
        <w:rPr>
          <w:rFonts w:eastAsia="仿宋_GB2312"/>
          <w:color w:val="auto"/>
          <w:kern w:val="0"/>
          <w:sz w:val="32"/>
          <w:szCs w:val="32"/>
        </w:rPr>
        <w:t>申请行政复议或者提起行政诉讼，不停止行政处罚决定的执行。</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right="0" w:firstLine="640" w:firstLineChars="200"/>
        <w:jc w:val="left"/>
        <w:textAlignment w:val="auto"/>
        <w:rPr>
          <w:rFonts w:eastAsia="仿宋_GB2312"/>
          <w:color w:val="auto"/>
          <w:kern w:val="0"/>
          <w:sz w:val="32"/>
          <w:szCs w:val="32"/>
        </w:rPr>
      </w:pPr>
      <w:r>
        <w:rPr>
          <w:rFonts w:eastAsia="仿宋_GB2312"/>
          <w:color w:val="auto"/>
          <w:kern w:val="0"/>
          <w:sz w:val="32"/>
          <w:szCs w:val="32"/>
        </w:rPr>
        <w:t>逾期</w:t>
      </w:r>
      <w:r>
        <w:rPr>
          <w:rFonts w:eastAsia="仿宋_GB2312"/>
          <w:color w:val="auto"/>
          <w:spacing w:val="1"/>
          <w:kern w:val="0"/>
          <w:sz w:val="32"/>
          <w:szCs w:val="32"/>
        </w:rPr>
        <w:t>不</w:t>
      </w:r>
      <w:r>
        <w:rPr>
          <w:rFonts w:eastAsia="仿宋_GB2312"/>
          <w:color w:val="auto"/>
          <w:kern w:val="0"/>
          <w:sz w:val="32"/>
          <w:szCs w:val="32"/>
        </w:rPr>
        <w:t>申</w:t>
      </w:r>
      <w:r>
        <w:rPr>
          <w:rFonts w:eastAsia="仿宋_GB2312"/>
          <w:color w:val="auto"/>
          <w:spacing w:val="1"/>
          <w:kern w:val="0"/>
          <w:sz w:val="32"/>
          <w:szCs w:val="32"/>
        </w:rPr>
        <w:t>请</w:t>
      </w:r>
      <w:r>
        <w:rPr>
          <w:rFonts w:eastAsia="仿宋_GB2312"/>
          <w:color w:val="auto"/>
          <w:kern w:val="0"/>
          <w:sz w:val="32"/>
          <w:szCs w:val="32"/>
        </w:rPr>
        <w:t>行政</w:t>
      </w:r>
      <w:r>
        <w:rPr>
          <w:rFonts w:eastAsia="仿宋_GB2312"/>
          <w:color w:val="auto"/>
          <w:spacing w:val="1"/>
          <w:kern w:val="0"/>
          <w:sz w:val="32"/>
          <w:szCs w:val="32"/>
        </w:rPr>
        <w:t>复</w:t>
      </w:r>
      <w:r>
        <w:rPr>
          <w:rFonts w:eastAsia="仿宋_GB2312"/>
          <w:color w:val="auto"/>
          <w:kern w:val="0"/>
          <w:sz w:val="32"/>
          <w:szCs w:val="32"/>
        </w:rPr>
        <w:t>议</w:t>
      </w:r>
      <w:r>
        <w:rPr>
          <w:rFonts w:eastAsia="仿宋_GB2312"/>
          <w:color w:val="auto"/>
          <w:spacing w:val="1"/>
          <w:kern w:val="0"/>
          <w:sz w:val="32"/>
          <w:szCs w:val="32"/>
        </w:rPr>
        <w:t>，</w:t>
      </w:r>
      <w:r>
        <w:rPr>
          <w:rFonts w:eastAsia="仿宋_GB2312"/>
          <w:color w:val="auto"/>
          <w:kern w:val="0"/>
          <w:sz w:val="32"/>
          <w:szCs w:val="32"/>
        </w:rPr>
        <w:t>不提</w:t>
      </w:r>
      <w:r>
        <w:rPr>
          <w:rFonts w:eastAsia="仿宋_GB2312"/>
          <w:color w:val="auto"/>
          <w:spacing w:val="1"/>
          <w:kern w:val="0"/>
          <w:sz w:val="32"/>
          <w:szCs w:val="32"/>
        </w:rPr>
        <w:t>起</w:t>
      </w:r>
      <w:r>
        <w:rPr>
          <w:rFonts w:eastAsia="仿宋_GB2312"/>
          <w:color w:val="auto"/>
          <w:kern w:val="0"/>
          <w:sz w:val="32"/>
          <w:szCs w:val="32"/>
        </w:rPr>
        <w:t>行</w:t>
      </w:r>
      <w:r>
        <w:rPr>
          <w:rFonts w:eastAsia="仿宋_GB2312"/>
          <w:color w:val="auto"/>
          <w:spacing w:val="1"/>
          <w:kern w:val="0"/>
          <w:sz w:val="32"/>
          <w:szCs w:val="32"/>
        </w:rPr>
        <w:t>政</w:t>
      </w:r>
      <w:r>
        <w:rPr>
          <w:rFonts w:eastAsia="仿宋_GB2312"/>
          <w:color w:val="auto"/>
          <w:kern w:val="0"/>
          <w:sz w:val="32"/>
          <w:szCs w:val="32"/>
        </w:rPr>
        <w:t>诉讼</w:t>
      </w:r>
      <w:r>
        <w:rPr>
          <w:rFonts w:eastAsia="仿宋_GB2312"/>
          <w:color w:val="auto"/>
          <w:spacing w:val="1"/>
          <w:kern w:val="0"/>
          <w:sz w:val="32"/>
          <w:szCs w:val="32"/>
        </w:rPr>
        <w:t>，</w:t>
      </w:r>
      <w:r>
        <w:rPr>
          <w:rFonts w:eastAsia="仿宋_GB2312"/>
          <w:color w:val="auto"/>
          <w:kern w:val="0"/>
          <w:sz w:val="32"/>
          <w:szCs w:val="32"/>
        </w:rPr>
        <w:t>又</w:t>
      </w:r>
      <w:r>
        <w:rPr>
          <w:rFonts w:eastAsia="仿宋_GB2312"/>
          <w:color w:val="auto"/>
          <w:spacing w:val="1"/>
          <w:kern w:val="0"/>
          <w:sz w:val="32"/>
          <w:szCs w:val="32"/>
        </w:rPr>
        <w:t>不</w:t>
      </w:r>
      <w:r>
        <w:rPr>
          <w:rFonts w:eastAsia="仿宋_GB2312"/>
          <w:color w:val="auto"/>
          <w:kern w:val="0"/>
          <w:sz w:val="32"/>
          <w:szCs w:val="32"/>
        </w:rPr>
        <w:t>履行</w:t>
      </w:r>
      <w:r>
        <w:rPr>
          <w:rFonts w:eastAsia="仿宋_GB2312"/>
          <w:color w:val="auto"/>
          <w:spacing w:val="1"/>
          <w:kern w:val="0"/>
          <w:sz w:val="32"/>
          <w:szCs w:val="32"/>
        </w:rPr>
        <w:t>本</w:t>
      </w:r>
      <w:r>
        <w:rPr>
          <w:rFonts w:eastAsia="仿宋_GB2312"/>
          <w:color w:val="auto"/>
          <w:kern w:val="0"/>
          <w:sz w:val="32"/>
          <w:szCs w:val="32"/>
        </w:rPr>
        <w:t>处</w:t>
      </w:r>
      <w:r>
        <w:rPr>
          <w:rFonts w:eastAsia="仿宋_GB2312"/>
          <w:color w:val="auto"/>
          <w:spacing w:val="1"/>
          <w:kern w:val="0"/>
          <w:sz w:val="32"/>
          <w:szCs w:val="32"/>
        </w:rPr>
        <w:t>罚</w:t>
      </w:r>
      <w:r>
        <w:rPr>
          <w:rFonts w:eastAsia="仿宋_GB2312"/>
          <w:color w:val="auto"/>
          <w:kern w:val="0"/>
          <w:sz w:val="32"/>
          <w:szCs w:val="32"/>
        </w:rPr>
        <w:t>决定</w:t>
      </w:r>
      <w:r>
        <w:rPr>
          <w:rFonts w:eastAsia="仿宋_GB2312"/>
          <w:color w:val="auto"/>
          <w:spacing w:val="1"/>
          <w:kern w:val="0"/>
          <w:sz w:val="32"/>
          <w:szCs w:val="32"/>
        </w:rPr>
        <w:t>的</w:t>
      </w:r>
      <w:r>
        <w:rPr>
          <w:rFonts w:eastAsia="仿宋_GB2312"/>
          <w:color w:val="auto"/>
          <w:kern w:val="0"/>
          <w:sz w:val="32"/>
          <w:szCs w:val="32"/>
        </w:rPr>
        <w:t>，</w:t>
      </w:r>
      <w:r>
        <w:rPr>
          <w:rFonts w:eastAsia="仿宋_GB2312"/>
          <w:color w:val="auto"/>
          <w:spacing w:val="1"/>
          <w:kern w:val="0"/>
          <w:sz w:val="32"/>
          <w:szCs w:val="32"/>
        </w:rPr>
        <w:t>我</w:t>
      </w:r>
      <w:r>
        <w:rPr>
          <w:rFonts w:eastAsia="仿宋_GB2312"/>
          <w:color w:val="auto"/>
          <w:kern w:val="0"/>
          <w:sz w:val="32"/>
          <w:szCs w:val="32"/>
        </w:rPr>
        <w:t>局将</w:t>
      </w:r>
      <w:r>
        <w:rPr>
          <w:rFonts w:eastAsia="仿宋_GB2312"/>
          <w:color w:val="auto"/>
          <w:spacing w:val="1"/>
          <w:kern w:val="0"/>
          <w:sz w:val="32"/>
          <w:szCs w:val="32"/>
        </w:rPr>
        <w:t>依</w:t>
      </w:r>
      <w:r>
        <w:rPr>
          <w:rFonts w:eastAsia="仿宋_GB2312"/>
          <w:color w:val="auto"/>
          <w:kern w:val="0"/>
          <w:sz w:val="32"/>
          <w:szCs w:val="32"/>
        </w:rPr>
        <w:t>法</w:t>
      </w:r>
      <w:r>
        <w:rPr>
          <w:rFonts w:eastAsia="仿宋_GB2312"/>
          <w:color w:val="auto"/>
          <w:spacing w:val="1"/>
          <w:kern w:val="0"/>
          <w:sz w:val="32"/>
          <w:szCs w:val="32"/>
        </w:rPr>
        <w:t>申</w:t>
      </w:r>
      <w:r>
        <w:rPr>
          <w:rFonts w:eastAsia="仿宋_GB2312"/>
          <w:color w:val="auto"/>
          <w:kern w:val="0"/>
          <w:sz w:val="32"/>
          <w:szCs w:val="32"/>
        </w:rPr>
        <w:t>请人</w:t>
      </w:r>
      <w:r>
        <w:rPr>
          <w:rFonts w:eastAsia="仿宋_GB2312"/>
          <w:color w:val="auto"/>
          <w:spacing w:val="1"/>
          <w:kern w:val="0"/>
          <w:sz w:val="32"/>
          <w:szCs w:val="32"/>
        </w:rPr>
        <w:t>民法</w:t>
      </w:r>
      <w:r>
        <w:rPr>
          <w:rFonts w:eastAsia="仿宋_GB2312"/>
          <w:color w:val="auto"/>
          <w:spacing w:val="2"/>
          <w:kern w:val="0"/>
          <w:sz w:val="32"/>
          <w:szCs w:val="32"/>
        </w:rPr>
        <w:t>院</w:t>
      </w:r>
      <w:r>
        <w:rPr>
          <w:rFonts w:eastAsia="仿宋_GB2312"/>
          <w:color w:val="auto"/>
          <w:spacing w:val="1"/>
          <w:kern w:val="0"/>
          <w:sz w:val="32"/>
          <w:szCs w:val="32"/>
        </w:rPr>
        <w:t>强</w:t>
      </w:r>
      <w:r>
        <w:rPr>
          <w:rFonts w:eastAsia="仿宋_GB2312"/>
          <w:color w:val="auto"/>
          <w:kern w:val="0"/>
          <w:sz w:val="32"/>
          <w:szCs w:val="32"/>
        </w:rPr>
        <w:t>制执行。</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60" w:lineRule="exact"/>
        <w:ind w:firstLine="640" w:firstLineChars="200"/>
        <w:jc w:val="both"/>
        <w:textAlignment w:val="auto"/>
        <w:rPr>
          <w:rFonts w:hint="eastAsia" w:eastAsia="黑体"/>
          <w:color w:val="auto"/>
          <w:kern w:val="0"/>
          <w:sz w:val="32"/>
          <w:szCs w:val="32"/>
          <w:lang w:val="en-US" w:eastAsia="zh-CN"/>
        </w:rPr>
      </w:pPr>
      <w:r>
        <w:rPr>
          <w:rFonts w:hint="eastAsia" w:eastAsia="黑体"/>
          <w:color w:val="auto"/>
          <w:kern w:val="0"/>
          <w:sz w:val="32"/>
          <w:szCs w:val="32"/>
          <w:lang w:val="en-US" w:eastAsia="zh-CN"/>
        </w:rPr>
        <w:t>五、信用中国网站信用修复</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60" w:lineRule="exact"/>
        <w:ind w:right="0" w:firstLine="640" w:firstLineChars="200"/>
        <w:jc w:val="both"/>
        <w:textAlignment w:val="auto"/>
        <w:rPr>
          <w:rFonts w:eastAsia="仿宋_GB2312"/>
          <w:color w:val="auto"/>
          <w:kern w:val="0"/>
          <w:sz w:val="32"/>
          <w:szCs w:val="32"/>
        </w:rPr>
      </w:pPr>
      <w:r>
        <w:rPr>
          <w:rFonts w:hint="eastAsia" w:ascii="Times New Roman" w:hAnsi="Times New Roman" w:eastAsia="仿宋_GB2312" w:cs="Times New Roman"/>
          <w:color w:val="auto"/>
          <w:kern w:val="0"/>
          <w:sz w:val="32"/>
          <w:szCs w:val="32"/>
          <w:lang w:val="en-US" w:eastAsia="zh-CN"/>
        </w:rPr>
        <w:t>你单位自觉履行本行政处罚决定并完成相关整改工作后，可登录“信用中国（天津）”网站（https://credit.fzgg.tj.gov.cn/）信用服务-信用修复栏目自助开展行政处罚信用修复。修复后你单位上述行政处罚信息将在信用中国网站停止公示</w:t>
      </w:r>
      <w:r>
        <w:rPr>
          <w:rFonts w:hint="eastAsia" w:eastAsia="仿宋_GB2312" w:cs="Times New Roman"/>
          <w:color w:val="auto"/>
          <w:kern w:val="0"/>
          <w:sz w:val="32"/>
          <w:szCs w:val="32"/>
          <w:lang w:val="en-US" w:eastAsia="zh-CN"/>
        </w:rPr>
        <w:t>。</w:t>
      </w:r>
    </w:p>
    <w:p>
      <w:pPr>
        <w:keepNext w:val="0"/>
        <w:keepLines w:val="0"/>
        <w:pageBreakBefore w:val="0"/>
        <w:widowControl w:val="0"/>
        <w:tabs>
          <w:tab w:val="left" w:pos="5980"/>
          <w:tab w:val="left" w:pos="8460"/>
          <w:tab w:val="left" w:pos="9265"/>
        </w:tabs>
        <w:kinsoku/>
        <w:wordWrap/>
        <w:overflowPunct/>
        <w:topLinePunct w:val="0"/>
        <w:autoSpaceDE w:val="0"/>
        <w:autoSpaceDN w:val="0"/>
        <w:bidi w:val="0"/>
        <w:adjustRightInd w:val="0"/>
        <w:snapToGrid w:val="0"/>
        <w:spacing w:line="560" w:lineRule="exact"/>
        <w:ind w:right="0"/>
        <w:jc w:val="both"/>
        <w:textAlignment w:val="auto"/>
        <w:rPr>
          <w:rFonts w:eastAsia="仿宋_GB2312"/>
          <w:color w:val="auto"/>
          <w:kern w:val="0"/>
          <w:sz w:val="32"/>
          <w:szCs w:val="32"/>
        </w:rPr>
      </w:pPr>
    </w:p>
    <w:p>
      <w:pPr>
        <w:pStyle w:val="2"/>
        <w:keepNext w:val="0"/>
        <w:keepLines w:val="0"/>
        <w:pageBreakBefore w:val="0"/>
        <w:tabs>
          <w:tab w:val="left" w:pos="1185"/>
        </w:tabs>
        <w:kinsoku/>
        <w:wordWrap/>
        <w:overflowPunct/>
        <w:topLinePunct w:val="0"/>
        <w:bidi w:val="0"/>
        <w:spacing w:line="560" w:lineRule="exact"/>
        <w:textAlignment w:val="auto"/>
        <w:rPr>
          <w:rFonts w:hint="eastAsia" w:eastAsia="宋体"/>
          <w:color w:val="auto"/>
          <w:lang w:eastAsia="zh-CN"/>
        </w:rPr>
      </w:pPr>
      <w:r>
        <w:rPr>
          <w:rFonts w:hint="eastAsia" w:eastAsia="仿宋_GB2312"/>
          <w:color w:val="auto"/>
          <w:kern w:val="0"/>
          <w:sz w:val="32"/>
          <w:szCs w:val="32"/>
          <w:lang w:val="en-US" w:eastAsia="zh-CN"/>
        </w:rPr>
        <w:t xml:space="preserve"> </w:t>
      </w:r>
      <w:bookmarkStart w:id="5" w:name="_GoBack"/>
      <w:bookmarkEnd w:id="5"/>
    </w:p>
    <w:p>
      <w:pPr>
        <w:pStyle w:val="2"/>
        <w:keepNext w:val="0"/>
        <w:keepLines w:val="0"/>
        <w:pageBreakBefore w:val="0"/>
        <w:tabs>
          <w:tab w:val="left" w:pos="1185"/>
        </w:tabs>
        <w:kinsoku/>
        <w:wordWrap/>
        <w:overflowPunct/>
        <w:topLinePunct w:val="0"/>
        <w:bidi w:val="0"/>
        <w:spacing w:line="560" w:lineRule="exact"/>
        <w:textAlignment w:val="auto"/>
        <w:rPr>
          <w:rFonts w:hint="eastAsia" w:eastAsia="宋体"/>
          <w:color w:val="auto"/>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right="960" w:rightChars="400" w:firstLine="5120" w:firstLineChars="1600"/>
        <w:jc w:val="both"/>
        <w:textAlignment w:val="auto"/>
        <w:rPr>
          <w:rFonts w:eastAsia="仿宋_GB2312"/>
          <w:color w:val="auto"/>
          <w:kern w:val="0"/>
          <w:sz w:val="32"/>
          <w:szCs w:val="32"/>
        </w:rPr>
      </w:pPr>
      <w:bookmarkStart w:id="4" w:name="PO_7_QianFaShiJian"/>
      <w:r>
        <w:rPr>
          <w:rFonts w:eastAsia="仿宋_GB2312"/>
          <w:color w:val="auto"/>
          <w:kern w:val="0"/>
          <w:sz w:val="32"/>
          <w:szCs w:val="32"/>
        </w:rPr>
        <w:t>20</w:t>
      </w:r>
      <w:r>
        <w:rPr>
          <w:rFonts w:hint="eastAsia" w:eastAsia="仿宋_GB2312"/>
          <w:color w:val="auto"/>
          <w:kern w:val="0"/>
          <w:sz w:val="32"/>
          <w:szCs w:val="32"/>
          <w:lang w:val="en-US" w:eastAsia="zh-CN"/>
        </w:rPr>
        <w:t>23</w:t>
      </w:r>
      <w:r>
        <w:rPr>
          <w:rFonts w:eastAsia="仿宋_GB2312"/>
          <w:color w:val="auto"/>
          <w:kern w:val="0"/>
          <w:sz w:val="32"/>
          <w:szCs w:val="32"/>
        </w:rPr>
        <w:t>年</w:t>
      </w:r>
      <w:r>
        <w:rPr>
          <w:rFonts w:hint="eastAsia" w:eastAsia="仿宋_GB2312"/>
          <w:color w:val="auto"/>
          <w:kern w:val="0"/>
          <w:sz w:val="32"/>
          <w:szCs w:val="32"/>
          <w:lang w:val="en-US" w:eastAsia="zh-CN"/>
        </w:rPr>
        <w:t>6</w:t>
      </w:r>
      <w:r>
        <w:rPr>
          <w:rFonts w:eastAsia="仿宋_GB2312"/>
          <w:color w:val="auto"/>
          <w:kern w:val="0"/>
          <w:sz w:val="32"/>
          <w:szCs w:val="32"/>
        </w:rPr>
        <w:t>月</w:t>
      </w:r>
      <w:bookmarkEnd w:id="4"/>
      <w:r>
        <w:rPr>
          <w:rFonts w:hint="eastAsia" w:eastAsia="仿宋_GB2312"/>
          <w:color w:val="auto"/>
          <w:kern w:val="0"/>
          <w:sz w:val="32"/>
          <w:szCs w:val="32"/>
          <w:lang w:val="en-US" w:eastAsia="zh-CN"/>
        </w:rPr>
        <w:t>26</w:t>
      </w:r>
      <w:r>
        <w:rPr>
          <w:rFonts w:eastAsia="仿宋_GB2312"/>
          <w:color w:val="auto"/>
          <w:kern w:val="0"/>
          <w:sz w:val="32"/>
          <w:szCs w:val="32"/>
        </w:rPr>
        <w:t>日</w:t>
      </w:r>
    </w:p>
    <w:p>
      <w:pPr>
        <w:keepNext w:val="0"/>
        <w:keepLines w:val="0"/>
        <w:pageBreakBefore w:val="0"/>
        <w:widowControl w:val="0"/>
        <w:tabs>
          <w:tab w:val="left" w:pos="9120"/>
        </w:tabs>
        <w:kinsoku/>
        <w:wordWrap/>
        <w:overflowPunct/>
        <w:topLinePunct w:val="0"/>
        <w:autoSpaceDE w:val="0"/>
        <w:autoSpaceDN w:val="0"/>
        <w:bidi w:val="0"/>
        <w:adjustRightInd w:val="0"/>
        <w:spacing w:line="560" w:lineRule="exact"/>
        <w:ind w:right="120"/>
        <w:textAlignment w:val="auto"/>
        <w:rPr>
          <w:rFonts w:eastAsia="仿宋_GB2312"/>
          <w:color w:val="auto"/>
          <w:kern w:val="0"/>
          <w:sz w:val="28"/>
          <w:szCs w:val="28"/>
        </w:rPr>
      </w:pPr>
    </w:p>
    <w:p>
      <w:pPr>
        <w:pStyle w:val="2"/>
        <w:keepNext w:val="0"/>
        <w:keepLines w:val="0"/>
        <w:pageBreakBefore w:val="0"/>
        <w:kinsoku/>
        <w:wordWrap/>
        <w:overflowPunct/>
        <w:topLinePunct w:val="0"/>
        <w:bidi w:val="0"/>
        <w:spacing w:line="560" w:lineRule="exact"/>
        <w:textAlignment w:val="auto"/>
        <w:rPr>
          <w:rFonts w:eastAsia="仿宋_GB2312"/>
          <w:color w:val="auto"/>
          <w:kern w:val="0"/>
          <w:sz w:val="28"/>
          <w:szCs w:val="28"/>
        </w:rPr>
      </w:pPr>
    </w:p>
    <w:p>
      <w:pPr>
        <w:pStyle w:val="2"/>
        <w:keepNext w:val="0"/>
        <w:keepLines w:val="0"/>
        <w:pageBreakBefore w:val="0"/>
        <w:kinsoku/>
        <w:wordWrap/>
        <w:overflowPunct/>
        <w:topLinePunct w:val="0"/>
        <w:bidi w:val="0"/>
        <w:spacing w:line="560" w:lineRule="exact"/>
        <w:textAlignment w:val="auto"/>
        <w:rPr>
          <w:rFonts w:eastAsia="仿宋_GB2312"/>
          <w:color w:val="auto"/>
          <w:kern w:val="0"/>
          <w:sz w:val="28"/>
          <w:szCs w:val="28"/>
        </w:rPr>
      </w:pPr>
    </w:p>
    <w:p>
      <w:pPr>
        <w:pStyle w:val="2"/>
        <w:keepNext w:val="0"/>
        <w:keepLines w:val="0"/>
        <w:pageBreakBefore w:val="0"/>
        <w:kinsoku/>
        <w:wordWrap/>
        <w:overflowPunct/>
        <w:topLinePunct w:val="0"/>
        <w:bidi w:val="0"/>
        <w:spacing w:line="560" w:lineRule="exact"/>
        <w:textAlignment w:val="auto"/>
        <w:rPr>
          <w:rFonts w:eastAsia="仿宋_GB2312"/>
          <w:color w:val="auto"/>
          <w:kern w:val="0"/>
          <w:sz w:val="28"/>
          <w:szCs w:val="28"/>
        </w:rPr>
      </w:pPr>
    </w:p>
    <w:p>
      <w:pPr>
        <w:pStyle w:val="2"/>
        <w:keepNext w:val="0"/>
        <w:keepLines w:val="0"/>
        <w:pageBreakBefore w:val="0"/>
        <w:kinsoku/>
        <w:wordWrap/>
        <w:overflowPunct/>
        <w:topLinePunct w:val="0"/>
        <w:bidi w:val="0"/>
        <w:spacing w:line="560" w:lineRule="exact"/>
        <w:textAlignment w:val="auto"/>
        <w:rPr>
          <w:rFonts w:eastAsia="仿宋_GB2312"/>
          <w:color w:val="auto"/>
          <w:kern w:val="0"/>
          <w:sz w:val="28"/>
          <w:szCs w:val="28"/>
        </w:rPr>
      </w:pPr>
    </w:p>
    <w:p>
      <w:pPr>
        <w:pStyle w:val="2"/>
        <w:keepNext w:val="0"/>
        <w:keepLines w:val="0"/>
        <w:pageBreakBefore w:val="0"/>
        <w:kinsoku/>
        <w:wordWrap/>
        <w:overflowPunct/>
        <w:topLinePunct w:val="0"/>
        <w:bidi w:val="0"/>
        <w:spacing w:line="560" w:lineRule="exact"/>
        <w:textAlignment w:val="auto"/>
        <w:rPr>
          <w:rFonts w:eastAsia="仿宋_GB2312"/>
          <w:color w:val="auto"/>
          <w:kern w:val="0"/>
          <w:sz w:val="28"/>
          <w:szCs w:val="28"/>
        </w:rPr>
      </w:pPr>
    </w:p>
    <w:p>
      <w:pPr>
        <w:keepNext w:val="0"/>
        <w:keepLines w:val="0"/>
        <w:pageBreakBefore w:val="0"/>
        <w:widowControl w:val="0"/>
        <w:tabs>
          <w:tab w:val="left" w:pos="9120"/>
        </w:tabs>
        <w:kinsoku/>
        <w:wordWrap/>
        <w:overflowPunct/>
        <w:topLinePunct w:val="0"/>
        <w:autoSpaceDE w:val="0"/>
        <w:autoSpaceDN w:val="0"/>
        <w:bidi w:val="0"/>
        <w:adjustRightInd w:val="0"/>
        <w:spacing w:line="560" w:lineRule="exact"/>
        <w:ind w:right="120"/>
        <w:textAlignment w:val="auto"/>
        <w:rPr>
          <w:rFonts w:eastAsia="仿宋_GB2312"/>
          <w:color w:val="auto"/>
          <w:kern w:val="0"/>
          <w:sz w:val="28"/>
          <w:szCs w:val="28"/>
        </w:rPr>
      </w:pPr>
      <w:r>
        <w:rPr>
          <w:rFonts w:eastAsia="仿宋_GB2312"/>
          <w:color w:val="auto"/>
          <w:kern w:val="0"/>
          <w:sz w:val="28"/>
          <w:szCs w:val="28"/>
        </w:rPr>
        <w:t>注：此文书一式</w:t>
      </w:r>
      <w:r>
        <w:rPr>
          <w:rFonts w:hint="eastAsia" w:eastAsia="仿宋_GB2312"/>
          <w:color w:val="auto"/>
          <w:kern w:val="0"/>
          <w:sz w:val="28"/>
          <w:szCs w:val="28"/>
          <w:lang w:val="en-US" w:eastAsia="zh-CN"/>
        </w:rPr>
        <w:t>三</w:t>
      </w:r>
      <w:r>
        <w:rPr>
          <w:rFonts w:eastAsia="仿宋_GB2312"/>
          <w:color w:val="auto"/>
          <w:kern w:val="0"/>
          <w:sz w:val="28"/>
          <w:szCs w:val="28"/>
        </w:rPr>
        <w:t>份，</w:t>
      </w:r>
      <w:r>
        <w:rPr>
          <w:rFonts w:hint="eastAsia" w:eastAsia="仿宋_GB2312"/>
          <w:color w:val="auto"/>
          <w:kern w:val="0"/>
          <w:sz w:val="28"/>
          <w:szCs w:val="28"/>
          <w:lang w:val="en-US" w:eastAsia="zh-CN"/>
        </w:rPr>
        <w:t>二</w:t>
      </w:r>
      <w:r>
        <w:rPr>
          <w:rFonts w:eastAsia="仿宋_GB2312"/>
          <w:color w:val="auto"/>
          <w:kern w:val="0"/>
          <w:sz w:val="28"/>
          <w:szCs w:val="28"/>
        </w:rPr>
        <w:t>份归档，一份送达。</w:t>
      </w:r>
    </w:p>
    <w:sectPr>
      <w:headerReference r:id="rId3" w:type="default"/>
      <w:footerReference r:id="rId5" w:type="default"/>
      <w:headerReference r:id="rId4" w:type="even"/>
      <w:pgSz w:w="11907" w:h="16840" w:orient="landscape"/>
      <w:pgMar w:top="2098" w:right="1474" w:bottom="1985" w:left="1587"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aramond">
    <w:altName w:val="PMingLiU-ExtB"/>
    <w:panose1 w:val="02020404030301010803"/>
    <w:charset w:val="00"/>
    <w:family w:val="roman"/>
    <w:pitch w:val="default"/>
    <w:sig w:usb0="00000000" w:usb1="00000000" w:usb2="00000000" w:usb3="00000000" w:csb0="0000009F" w:csb1="DFD7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rP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8</w:t>
    </w:r>
    <w:r>
      <w:rPr>
        <w:b/>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AF0D15"/>
    <w:multiLevelType w:val="multilevel"/>
    <w:tmpl w:val="1CAF0D15"/>
    <w:lvl w:ilvl="0" w:tentative="0">
      <w:start w:val="1"/>
      <w:numFmt w:val="chineseCountingThousand"/>
      <w:lvlText w:val="第%1章"/>
      <w:lvlJc w:val="left"/>
      <w:pPr>
        <w:tabs>
          <w:tab w:val="left" w:pos="432"/>
        </w:tabs>
        <w:ind w:left="432" w:hanging="432"/>
      </w:pPr>
      <w:rPr>
        <w:rFonts w:hint="eastAsia"/>
      </w:rPr>
    </w:lvl>
    <w:lvl w:ilvl="1" w:tentative="0">
      <w:start w:val="1"/>
      <w:numFmt w:val="decimal"/>
      <w:pStyle w:val="4"/>
      <w:isLgl/>
      <w:lvlText w:val="%1.%2"/>
      <w:lvlJc w:val="left"/>
      <w:pPr>
        <w:tabs>
          <w:tab w:val="left" w:pos="576"/>
        </w:tabs>
        <w:ind w:left="576" w:hanging="576"/>
      </w:pPr>
      <w:rPr>
        <w:rFonts w:hint="eastAsia"/>
      </w:rPr>
    </w:lvl>
    <w:lvl w:ilvl="2" w:tentative="0">
      <w:start w:val="1"/>
      <w:numFmt w:val="decimal"/>
      <w:pStyle w:val="5"/>
      <w:isLgl/>
      <w:lvlText w:val="%1.%2.%3"/>
      <w:lvlJc w:val="left"/>
      <w:pPr>
        <w:tabs>
          <w:tab w:val="left" w:pos="720"/>
        </w:tabs>
        <w:ind w:left="720" w:hanging="720"/>
      </w:pPr>
      <w:rPr>
        <w:rFonts w:hint="eastAsia"/>
      </w:rPr>
    </w:lvl>
    <w:lvl w:ilvl="3" w:tentative="0">
      <w:start w:val="1"/>
      <w:numFmt w:val="decimal"/>
      <w:pStyle w:val="6"/>
      <w:isLgl/>
      <w:lvlText w:val="%1.%2.%3.%4"/>
      <w:lvlJc w:val="left"/>
      <w:pPr>
        <w:tabs>
          <w:tab w:val="left" w:pos="864"/>
        </w:tabs>
        <w:ind w:left="864" w:hanging="864"/>
      </w:pPr>
      <w:rPr>
        <w:rFonts w:hint="eastAsia"/>
        <w:sz w:val="24"/>
        <w:szCs w:val="24"/>
      </w:rPr>
    </w:lvl>
    <w:lvl w:ilvl="4" w:tentative="0">
      <w:start w:val="1"/>
      <w:numFmt w:val="decimal"/>
      <w:isLgl/>
      <w:lvlText w:val="%1.%2.%3.%4.%5 "/>
      <w:lvlJc w:val="left"/>
      <w:pPr>
        <w:tabs>
          <w:tab w:val="left" w:pos="1008"/>
        </w:tabs>
        <w:ind w:left="1008" w:hanging="1008"/>
      </w:pPr>
      <w:rPr>
        <w:rFonts w:hint="eastAsia"/>
        <w:sz w:val="28"/>
        <w:szCs w:val="28"/>
      </w:rPr>
    </w:lvl>
    <w:lvl w:ilvl="5" w:tentative="0">
      <w:start w:val="1"/>
      <w:numFmt w:val="decimal"/>
      <w:isLgl/>
      <w:lvlText w:val=" %1.%2.%3.%4.%5.%6 "/>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7619608E"/>
    <w:multiLevelType w:val="multilevel"/>
    <w:tmpl w:val="7619608E"/>
    <w:lvl w:ilvl="0" w:tentative="0">
      <w:start w:val="1"/>
      <w:numFmt w:val="decimal"/>
      <w:pStyle w:val="3"/>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bookFoldPrinting w:val="1"/>
  <w:bookFoldPrintingSheets w:val="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5ZGY3YWJhNWE4NTE5YzZjNTNlNGUxM2ZjZjEwOGYifQ=="/>
  </w:docVars>
  <w:rsids>
    <w:rsidRoot w:val="78B6471C"/>
    <w:rsid w:val="00010AA6"/>
    <w:rsid w:val="000204AC"/>
    <w:rsid w:val="00043334"/>
    <w:rsid w:val="000657F1"/>
    <w:rsid w:val="0009025B"/>
    <w:rsid w:val="00095A17"/>
    <w:rsid w:val="000D6F4A"/>
    <w:rsid w:val="000E35AD"/>
    <w:rsid w:val="0010341C"/>
    <w:rsid w:val="00121857"/>
    <w:rsid w:val="0013098D"/>
    <w:rsid w:val="0013559F"/>
    <w:rsid w:val="00140468"/>
    <w:rsid w:val="00152183"/>
    <w:rsid w:val="00157F83"/>
    <w:rsid w:val="00173A1F"/>
    <w:rsid w:val="00177446"/>
    <w:rsid w:val="00194E8D"/>
    <w:rsid w:val="001A1DB1"/>
    <w:rsid w:val="001B0754"/>
    <w:rsid w:val="001B6475"/>
    <w:rsid w:val="001D6278"/>
    <w:rsid w:val="001E22F8"/>
    <w:rsid w:val="001E643A"/>
    <w:rsid w:val="001E7604"/>
    <w:rsid w:val="001E7CC6"/>
    <w:rsid w:val="00211E14"/>
    <w:rsid w:val="0021612C"/>
    <w:rsid w:val="00246C59"/>
    <w:rsid w:val="002560CC"/>
    <w:rsid w:val="00263436"/>
    <w:rsid w:val="002709C6"/>
    <w:rsid w:val="002817AC"/>
    <w:rsid w:val="00292BE0"/>
    <w:rsid w:val="002D34A1"/>
    <w:rsid w:val="002E443D"/>
    <w:rsid w:val="003057A3"/>
    <w:rsid w:val="0033687D"/>
    <w:rsid w:val="00343837"/>
    <w:rsid w:val="00353614"/>
    <w:rsid w:val="003658E2"/>
    <w:rsid w:val="003A15F8"/>
    <w:rsid w:val="003A1FCB"/>
    <w:rsid w:val="003B1577"/>
    <w:rsid w:val="003C05F1"/>
    <w:rsid w:val="003C45C3"/>
    <w:rsid w:val="003C4CF8"/>
    <w:rsid w:val="003D74C6"/>
    <w:rsid w:val="003E1E96"/>
    <w:rsid w:val="003E474C"/>
    <w:rsid w:val="003F2EA1"/>
    <w:rsid w:val="00417624"/>
    <w:rsid w:val="00432C4D"/>
    <w:rsid w:val="00450E93"/>
    <w:rsid w:val="004903BE"/>
    <w:rsid w:val="0049236B"/>
    <w:rsid w:val="004C43A3"/>
    <w:rsid w:val="004D7091"/>
    <w:rsid w:val="00501456"/>
    <w:rsid w:val="00506453"/>
    <w:rsid w:val="00531338"/>
    <w:rsid w:val="005462FF"/>
    <w:rsid w:val="00556AAA"/>
    <w:rsid w:val="00556E72"/>
    <w:rsid w:val="00570B4E"/>
    <w:rsid w:val="00583D37"/>
    <w:rsid w:val="0059431A"/>
    <w:rsid w:val="005A2D5F"/>
    <w:rsid w:val="005B20ED"/>
    <w:rsid w:val="005B7404"/>
    <w:rsid w:val="00601CA0"/>
    <w:rsid w:val="00621936"/>
    <w:rsid w:val="00625AC4"/>
    <w:rsid w:val="00634C6F"/>
    <w:rsid w:val="006408BA"/>
    <w:rsid w:val="0064230B"/>
    <w:rsid w:val="00647C8C"/>
    <w:rsid w:val="00665D46"/>
    <w:rsid w:val="00683982"/>
    <w:rsid w:val="00685E46"/>
    <w:rsid w:val="006B4C3E"/>
    <w:rsid w:val="006D1DF4"/>
    <w:rsid w:val="0070626A"/>
    <w:rsid w:val="00716F33"/>
    <w:rsid w:val="00724ACD"/>
    <w:rsid w:val="007451B2"/>
    <w:rsid w:val="00750919"/>
    <w:rsid w:val="00755DF9"/>
    <w:rsid w:val="00776979"/>
    <w:rsid w:val="007817B9"/>
    <w:rsid w:val="00792255"/>
    <w:rsid w:val="007E0306"/>
    <w:rsid w:val="007E343F"/>
    <w:rsid w:val="007F2FE7"/>
    <w:rsid w:val="00845722"/>
    <w:rsid w:val="00850EF1"/>
    <w:rsid w:val="008778D2"/>
    <w:rsid w:val="008874CB"/>
    <w:rsid w:val="00895089"/>
    <w:rsid w:val="008A66F0"/>
    <w:rsid w:val="008B4839"/>
    <w:rsid w:val="008B6497"/>
    <w:rsid w:val="008E0B8C"/>
    <w:rsid w:val="008F1113"/>
    <w:rsid w:val="008F6C12"/>
    <w:rsid w:val="0090189C"/>
    <w:rsid w:val="00913EA6"/>
    <w:rsid w:val="00977AA3"/>
    <w:rsid w:val="009A5126"/>
    <w:rsid w:val="009A5FA0"/>
    <w:rsid w:val="009A7197"/>
    <w:rsid w:val="009B30FC"/>
    <w:rsid w:val="009B7917"/>
    <w:rsid w:val="009E4BC4"/>
    <w:rsid w:val="00A00336"/>
    <w:rsid w:val="00A22703"/>
    <w:rsid w:val="00A323A4"/>
    <w:rsid w:val="00A6249C"/>
    <w:rsid w:val="00A67E90"/>
    <w:rsid w:val="00A75B81"/>
    <w:rsid w:val="00A802D8"/>
    <w:rsid w:val="00A85133"/>
    <w:rsid w:val="00A8786C"/>
    <w:rsid w:val="00AC5186"/>
    <w:rsid w:val="00AD0BD6"/>
    <w:rsid w:val="00AF21E9"/>
    <w:rsid w:val="00AF2C63"/>
    <w:rsid w:val="00B1113A"/>
    <w:rsid w:val="00B13545"/>
    <w:rsid w:val="00B51CAA"/>
    <w:rsid w:val="00B56F69"/>
    <w:rsid w:val="00B571CE"/>
    <w:rsid w:val="00B65A78"/>
    <w:rsid w:val="00B77FEE"/>
    <w:rsid w:val="00BA1433"/>
    <w:rsid w:val="00BB3134"/>
    <w:rsid w:val="00BC39CE"/>
    <w:rsid w:val="00BE12F0"/>
    <w:rsid w:val="00BF19BB"/>
    <w:rsid w:val="00BF6CF7"/>
    <w:rsid w:val="00C04BE9"/>
    <w:rsid w:val="00C055CB"/>
    <w:rsid w:val="00C0653B"/>
    <w:rsid w:val="00C167DA"/>
    <w:rsid w:val="00C1784D"/>
    <w:rsid w:val="00C47953"/>
    <w:rsid w:val="00C607DE"/>
    <w:rsid w:val="00C727FA"/>
    <w:rsid w:val="00C75797"/>
    <w:rsid w:val="00C94F4E"/>
    <w:rsid w:val="00CA0F93"/>
    <w:rsid w:val="00CC125D"/>
    <w:rsid w:val="00D056EC"/>
    <w:rsid w:val="00D063E3"/>
    <w:rsid w:val="00D1024B"/>
    <w:rsid w:val="00D13861"/>
    <w:rsid w:val="00D15117"/>
    <w:rsid w:val="00D21D1B"/>
    <w:rsid w:val="00D26915"/>
    <w:rsid w:val="00D2707E"/>
    <w:rsid w:val="00D31EDD"/>
    <w:rsid w:val="00D71E35"/>
    <w:rsid w:val="00D936DC"/>
    <w:rsid w:val="00D95AE8"/>
    <w:rsid w:val="00DA3404"/>
    <w:rsid w:val="00DA5D19"/>
    <w:rsid w:val="00DE1676"/>
    <w:rsid w:val="00DF22E2"/>
    <w:rsid w:val="00E06209"/>
    <w:rsid w:val="00E173D0"/>
    <w:rsid w:val="00E3680D"/>
    <w:rsid w:val="00E372E2"/>
    <w:rsid w:val="00E95DD8"/>
    <w:rsid w:val="00E97CC4"/>
    <w:rsid w:val="00EA5465"/>
    <w:rsid w:val="00EB201B"/>
    <w:rsid w:val="00EE7147"/>
    <w:rsid w:val="00EE7196"/>
    <w:rsid w:val="00F11F86"/>
    <w:rsid w:val="00F25EA3"/>
    <w:rsid w:val="00F3469B"/>
    <w:rsid w:val="00F35CDC"/>
    <w:rsid w:val="00F419D7"/>
    <w:rsid w:val="00F46ABE"/>
    <w:rsid w:val="00F46DCD"/>
    <w:rsid w:val="00F53C70"/>
    <w:rsid w:val="00F674B8"/>
    <w:rsid w:val="00F73398"/>
    <w:rsid w:val="00F97257"/>
    <w:rsid w:val="00FA0003"/>
    <w:rsid w:val="00FA2B76"/>
    <w:rsid w:val="00FB25AA"/>
    <w:rsid w:val="00FB4879"/>
    <w:rsid w:val="00FC14FB"/>
    <w:rsid w:val="00FD09D1"/>
    <w:rsid w:val="00FE5FB8"/>
    <w:rsid w:val="04564EA5"/>
    <w:rsid w:val="047D7869"/>
    <w:rsid w:val="04CF2504"/>
    <w:rsid w:val="075524D7"/>
    <w:rsid w:val="07B93B0C"/>
    <w:rsid w:val="080406C2"/>
    <w:rsid w:val="08A676E1"/>
    <w:rsid w:val="09114283"/>
    <w:rsid w:val="0BEA4C5E"/>
    <w:rsid w:val="14A22454"/>
    <w:rsid w:val="173B33C8"/>
    <w:rsid w:val="1A3F25F1"/>
    <w:rsid w:val="1B552996"/>
    <w:rsid w:val="1BC26D67"/>
    <w:rsid w:val="1C142188"/>
    <w:rsid w:val="1CC54CEB"/>
    <w:rsid w:val="1F6A3919"/>
    <w:rsid w:val="1F77353F"/>
    <w:rsid w:val="21F161FB"/>
    <w:rsid w:val="2378242F"/>
    <w:rsid w:val="25735D76"/>
    <w:rsid w:val="26162D5B"/>
    <w:rsid w:val="27FC4468"/>
    <w:rsid w:val="2A192C95"/>
    <w:rsid w:val="2ABE5B1A"/>
    <w:rsid w:val="2E2D1CD7"/>
    <w:rsid w:val="2E7E4B4C"/>
    <w:rsid w:val="2F096FCE"/>
    <w:rsid w:val="312C04D9"/>
    <w:rsid w:val="37D875EB"/>
    <w:rsid w:val="3BA70B39"/>
    <w:rsid w:val="3C7636AF"/>
    <w:rsid w:val="3CFC232D"/>
    <w:rsid w:val="3E516742"/>
    <w:rsid w:val="42BA1DF9"/>
    <w:rsid w:val="42C3487C"/>
    <w:rsid w:val="442F10A5"/>
    <w:rsid w:val="46843426"/>
    <w:rsid w:val="473A0DD5"/>
    <w:rsid w:val="47C66189"/>
    <w:rsid w:val="4A263D9A"/>
    <w:rsid w:val="4CA7559F"/>
    <w:rsid w:val="4D6435C2"/>
    <w:rsid w:val="4DF56AA7"/>
    <w:rsid w:val="4F990F38"/>
    <w:rsid w:val="50FD7544"/>
    <w:rsid w:val="51935037"/>
    <w:rsid w:val="521C5B03"/>
    <w:rsid w:val="526B4BC7"/>
    <w:rsid w:val="53767495"/>
    <w:rsid w:val="5794182D"/>
    <w:rsid w:val="586D4E7F"/>
    <w:rsid w:val="58DF7B75"/>
    <w:rsid w:val="5A4853C7"/>
    <w:rsid w:val="5B5C731D"/>
    <w:rsid w:val="5B5F0312"/>
    <w:rsid w:val="5C9F4A39"/>
    <w:rsid w:val="5DD022F3"/>
    <w:rsid w:val="5ECD3BB6"/>
    <w:rsid w:val="61787F41"/>
    <w:rsid w:val="62C147D5"/>
    <w:rsid w:val="63EC73E1"/>
    <w:rsid w:val="65465834"/>
    <w:rsid w:val="6AEC59B8"/>
    <w:rsid w:val="6B1F7E37"/>
    <w:rsid w:val="6C1C590D"/>
    <w:rsid w:val="7110787A"/>
    <w:rsid w:val="71F76391"/>
    <w:rsid w:val="743631A3"/>
    <w:rsid w:val="759748AE"/>
    <w:rsid w:val="76716923"/>
    <w:rsid w:val="76A05966"/>
    <w:rsid w:val="7776441B"/>
    <w:rsid w:val="78B6471C"/>
    <w:rsid w:val="78D17E30"/>
    <w:rsid w:val="7B8C187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3">
    <w:name w:val="heading 1"/>
    <w:basedOn w:val="1"/>
    <w:next w:val="1"/>
    <w:qFormat/>
    <w:uiPriority w:val="0"/>
    <w:pPr>
      <w:keepNext/>
      <w:keepLines/>
      <w:numPr>
        <w:ilvl w:val="0"/>
        <w:numId w:val="1"/>
      </w:numPr>
      <w:spacing w:before="340" w:after="330" w:line="578" w:lineRule="auto"/>
      <w:outlineLvl w:val="0"/>
    </w:pPr>
    <w:rPr>
      <w:rFonts w:eastAsia="黑体"/>
      <w:b/>
      <w:bCs/>
      <w:kern w:val="44"/>
      <w:sz w:val="30"/>
      <w:szCs w:val="44"/>
    </w:rPr>
  </w:style>
  <w:style w:type="paragraph" w:styleId="4">
    <w:name w:val="heading 2"/>
    <w:basedOn w:val="1"/>
    <w:next w:val="1"/>
    <w:qFormat/>
    <w:uiPriority w:val="0"/>
    <w:pPr>
      <w:keepNext/>
      <w:keepLines/>
      <w:numPr>
        <w:ilvl w:val="1"/>
        <w:numId w:val="2"/>
      </w:numPr>
      <w:spacing w:before="160" w:after="160" w:line="440" w:lineRule="atLeast"/>
      <w:outlineLvl w:val="1"/>
    </w:pPr>
    <w:rPr>
      <w:b/>
      <w:kern w:val="0"/>
      <w:sz w:val="32"/>
      <w:szCs w:val="20"/>
      <w14:shadow w14:blurRad="50800" w14:dist="38100" w14:dir="2700000" w14:sx="100000" w14:sy="100000" w14:kx="0" w14:ky="0" w14:algn="tl">
        <w14:srgbClr w14:val="000000">
          <w14:alpha w14:val="60000"/>
        </w14:srgbClr>
      </w14:shadow>
    </w:rPr>
  </w:style>
  <w:style w:type="paragraph" w:styleId="5">
    <w:name w:val="heading 3"/>
    <w:basedOn w:val="1"/>
    <w:next w:val="1"/>
    <w:qFormat/>
    <w:uiPriority w:val="0"/>
    <w:pPr>
      <w:keepNext/>
      <w:keepLines/>
      <w:numPr>
        <w:ilvl w:val="2"/>
        <w:numId w:val="2"/>
      </w:numPr>
      <w:spacing w:before="120" w:after="120" w:line="440" w:lineRule="atLeast"/>
      <w:outlineLvl w:val="2"/>
    </w:pPr>
    <w:rPr>
      <w:rFonts w:ascii="Garamond" w:hAnsi="Garamond"/>
      <w:b/>
      <w:kern w:val="0"/>
      <w:sz w:val="30"/>
      <w:szCs w:val="20"/>
      <w14:shadow w14:blurRad="50800" w14:dist="38100" w14:dir="2700000" w14:sx="100000" w14:sy="100000" w14:kx="0" w14:ky="0" w14:algn="tl">
        <w14:srgbClr w14:val="000000">
          <w14:alpha w14:val="60000"/>
        </w14:srgbClr>
      </w14:shadow>
    </w:rPr>
  </w:style>
  <w:style w:type="paragraph" w:styleId="6">
    <w:name w:val="heading 4"/>
    <w:basedOn w:val="1"/>
    <w:next w:val="1"/>
    <w:qFormat/>
    <w:uiPriority w:val="0"/>
    <w:pPr>
      <w:keepNext/>
      <w:keepLines/>
      <w:numPr>
        <w:ilvl w:val="3"/>
        <w:numId w:val="2"/>
      </w:numPr>
      <w:spacing w:before="160" w:after="100" w:line="440" w:lineRule="atLeast"/>
      <w:jc w:val="left"/>
      <w:outlineLvl w:val="3"/>
    </w:pPr>
    <w:rPr>
      <w:b/>
      <w:kern w:val="0"/>
      <w:sz w:val="28"/>
      <w:szCs w:val="20"/>
      <w14:shadow w14:blurRad="50800" w14:dist="38100" w14:dir="2700000" w14:sx="100000" w14:sy="100000" w14:kx="0" w14:ky="0" w14:algn="tl">
        <w14:srgbClr w14:val="000000">
          <w14:alpha w14:val="60000"/>
        </w14:srgbClr>
      </w14:shadow>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widowControl/>
      <w:spacing w:before="100" w:beforeAutospacing="1" w:after="100" w:afterAutospacing="1"/>
      <w:jc w:val="left"/>
    </w:pPr>
    <w:rPr>
      <w:rFonts w:ascii="宋体" w:hAnsi="宋体" w:cs="宋体"/>
    </w:rPr>
  </w:style>
  <w:style w:type="paragraph" w:styleId="7">
    <w:name w:val="Balloon Text"/>
    <w:basedOn w:val="1"/>
    <w:link w:val="13"/>
    <w:qFormat/>
    <w:uiPriority w:val="0"/>
    <w:rPr>
      <w:sz w:val="18"/>
      <w:szCs w:val="18"/>
    </w:rPr>
  </w:style>
  <w:style w:type="paragraph" w:styleId="8">
    <w:name w:val="footer"/>
    <w:basedOn w:val="1"/>
    <w:link w:val="14"/>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批注框文本 字符"/>
    <w:link w:val="7"/>
    <w:qFormat/>
    <w:uiPriority w:val="0"/>
    <w:rPr>
      <w:kern w:val="2"/>
      <w:sz w:val="18"/>
      <w:szCs w:val="18"/>
    </w:rPr>
  </w:style>
  <w:style w:type="character" w:customStyle="1" w:styleId="14">
    <w:name w:val="页脚 字符"/>
    <w:link w:val="8"/>
    <w:qFormat/>
    <w:uiPriority w:val="99"/>
    <w:rPr>
      <w:kern w:val="2"/>
      <w:sz w:val="18"/>
      <w:szCs w:val="18"/>
    </w:rPr>
  </w:style>
  <w:style w:type="paragraph" w:customStyle="1" w:styleId="15">
    <w:name w:val="封皮"/>
    <w:basedOn w:val="1"/>
    <w:qFormat/>
    <w:uiPriority w:val="0"/>
    <w:pPr>
      <w:jc w:val="center"/>
    </w:pPr>
    <w:rPr>
      <w:rFonts w:eastAsia="黑体"/>
      <w:b/>
      <w:sz w:val="7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24037;&#20316;&#25991;&#20214;&#22841;\&#24120;&#29992;&#25991;&#20070;&#27169;&#26495;\&#25191;&#27861;&#24635;&#38431;&#34892;&#25919;&#22788;&#32602;&#25991;&#20070;&#27169;&#26495;2022.4&#26356;&#26032;\&#34892;&#25919;&#22788;&#32602;&#20915;&#23450;&#20070;&#65288;&#26410;&#21548;&#35777;&#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行政处罚决定书（未听证）.dot</Template>
  <Pages>4</Pages>
  <Words>1392</Words>
  <Characters>1523</Characters>
  <Lines>8</Lines>
  <Paragraphs>2</Paragraphs>
  <TotalTime>7</TotalTime>
  <ScaleCrop>false</ScaleCrop>
  <LinksUpToDate>false</LinksUpToDate>
  <CharactersWithSpaces>1547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2022-05-24T07:12:00Z</dcterms:created>
  <dc:creator>唐大果果</dc:creator>
  <cp:lastModifiedBy>孙国力</cp:lastModifiedBy>
  <cp:lastPrinted>2023-06-26T00:40:00Z</cp:lastPrinted>
  <dcterms:modified xsi:type="dcterms:W3CDTF">2023-06-28T06:30:08Z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730E82EB171946218D567F6F085AA7F6</vt:lpwstr>
  </property>
</Properties>
</file>