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7E91E">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14:paraId="73212421">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14:paraId="4150457B">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spacing w:val="1"/>
          <w:kern w:val="0"/>
          <w:position w:val="-2"/>
          <w:sz w:val="21"/>
          <w:szCs w:val="21"/>
          <w14:textFill>
            <w14:solidFill>
              <w14:schemeClr w14:val="tx1"/>
            </w14:solidFill>
          </w14:textFill>
        </w:rPr>
      </w:pPr>
    </w:p>
    <w:p w14:paraId="40B9AAD9">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2024</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131</w:t>
      </w:r>
      <w:r>
        <w:rPr>
          <w:rFonts w:eastAsia="仿宋_GB2312"/>
          <w:color w:val="000000" w:themeColor="text1"/>
          <w:kern w:val="0"/>
          <w:position w:val="-2"/>
          <w:sz w:val="32"/>
          <w:szCs w:val="32"/>
          <w14:textFill>
            <w14:solidFill>
              <w14:schemeClr w14:val="tx1"/>
            </w14:solidFill>
          </w14:textFill>
        </w:rPr>
        <w:t>号</w:t>
      </w:r>
    </w:p>
    <w:p w14:paraId="22AF9B94">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000000" w:themeColor="text1"/>
          <w:kern w:val="0"/>
          <w:sz w:val="21"/>
          <w:szCs w:val="21"/>
          <w:lang w:val="en-US" w:eastAsia="zh-CN"/>
          <w14:textFill>
            <w14:solidFill>
              <w14:schemeClr w14:val="tx1"/>
            </w14:solidFill>
          </w14:textFill>
        </w:rPr>
      </w:pPr>
    </w:p>
    <w:p w14:paraId="5D09FEFE">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当事人名称</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天津绿境水务有限责任公司</w:t>
      </w:r>
    </w:p>
    <w:p w14:paraId="0F8F81E6">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w:t>
      </w:r>
      <w:bookmarkStart w:id="8" w:name="_GoBack"/>
      <w:bookmarkEnd w:id="8"/>
      <w:r>
        <w:rPr>
          <w:rFonts w:eastAsia="仿宋_GB2312"/>
          <w:color w:val="000000" w:themeColor="text1"/>
          <w:kern w:val="0"/>
          <w:sz w:val="32"/>
          <w:szCs w:val="32"/>
          <w14:textFill>
            <w14:solidFill>
              <w14:schemeClr w14:val="tx1"/>
            </w14:solidFill>
          </w14:textFill>
        </w:rPr>
        <w:t>代码：</w:t>
      </w:r>
      <w:r>
        <w:rPr>
          <w:rFonts w:hint="eastAsia" w:eastAsia="仿宋_GB2312"/>
          <w:color w:val="000000" w:themeColor="text1"/>
          <w:kern w:val="0"/>
          <w:sz w:val="32"/>
          <w:szCs w:val="32"/>
          <w:lang w:val="en-US" w:eastAsia="zh-CN"/>
          <w14:textFill>
            <w14:solidFill>
              <w14:schemeClr w14:val="tx1"/>
            </w14:solidFill>
          </w14:textFill>
        </w:rPr>
        <w:t>91120222MA06DNNC08（2-1）</w:t>
      </w:r>
    </w:p>
    <w:p w14:paraId="2E63411F">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住所</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天津市武清区京滨工业园民旺道10号1号生产楼2层19室</w:t>
      </w:r>
    </w:p>
    <w:p w14:paraId="13C8225D">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张学双</w:t>
      </w:r>
      <w:r>
        <w:rPr>
          <w:rFonts w:eastAsia="仿宋_GB2312"/>
          <w:color w:val="000000" w:themeColor="text1"/>
          <w:kern w:val="0"/>
          <w:sz w:val="32"/>
          <w:szCs w:val="32"/>
          <w14:textFill>
            <w14:solidFill>
              <w14:schemeClr w14:val="tx1"/>
            </w14:solidFill>
          </w14:textFill>
        </w:rPr>
        <w:t xml:space="preserve"> </w:t>
      </w:r>
    </w:p>
    <w:p w14:paraId="26AC62D5">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14:paraId="033C0B5D">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14:paraId="379EA130">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w:t>
      </w:r>
      <w:r>
        <w:rPr>
          <w:rFonts w:hint="eastAsia" w:eastAsia="仿宋_GB2312"/>
          <w:color w:val="000000" w:themeColor="text1"/>
          <w:sz w:val="32"/>
          <w:szCs w:val="32"/>
          <w:lang w:eastAsia="zh-CN"/>
          <w14:textFill>
            <w14:solidFill>
              <w14:schemeClr w14:val="tx1"/>
            </w14:solidFill>
          </w14:textFill>
        </w:rPr>
        <w:t>2024</w:t>
      </w:r>
      <w:r>
        <w:rPr>
          <w:rFonts w:hint="eastAsia"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7</w:t>
      </w:r>
      <w:r>
        <w:rPr>
          <w:rFonts w:hint="eastAsia"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24</w:t>
      </w:r>
      <w:r>
        <w:rPr>
          <w:rFonts w:hint="eastAsia"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。参考《天津市武清区农村生活污水处理工程PPP项目合同》及你单位《排污登记表》，你单位负责天津市武清区陈咀镇陈咀村污水处理站运维工作。</w:t>
      </w:r>
    </w:p>
    <w:p w14:paraId="23110C22">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w:t>
      </w:r>
      <w:r>
        <w:rPr>
          <w:rFonts w:hint="eastAsia" w:eastAsia="仿宋_GB2312"/>
          <w:color w:val="000000" w:themeColor="text1"/>
          <w:sz w:val="32"/>
          <w:szCs w:val="32"/>
          <w14:textFill>
            <w14:solidFill>
              <w14:schemeClr w14:val="tx1"/>
            </w14:solidFill>
          </w14:textFill>
        </w:rPr>
        <w:t>发现你单位实施了以下环境违法行为：</w:t>
      </w:r>
    </w:p>
    <w:p w14:paraId="45725C75">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现场检查时，</w:t>
      </w:r>
      <w:r>
        <w:rPr>
          <w:rFonts w:hint="eastAsia" w:eastAsia="仿宋_GB2312"/>
          <w:color w:val="000000" w:themeColor="text1"/>
          <w:sz w:val="32"/>
          <w:szCs w:val="32"/>
          <w:lang w:eastAsia="zh-CN"/>
          <w14:textFill>
            <w14:solidFill>
              <w14:schemeClr w14:val="tx1"/>
            </w14:solidFill>
          </w14:textFill>
        </w:rPr>
        <w:t>天津市武清区陈咀镇陈咀村污水处理站</w:t>
      </w:r>
      <w:r>
        <w:rPr>
          <w:rFonts w:hint="eastAsia" w:eastAsia="仿宋_GB2312"/>
          <w:color w:val="000000" w:themeColor="text1"/>
          <w:sz w:val="32"/>
          <w:szCs w:val="32"/>
          <w:lang w:val="en-US" w:eastAsia="zh-CN"/>
          <w14:textFill>
            <w14:solidFill>
              <w14:schemeClr w14:val="tx1"/>
            </w14:solidFill>
          </w14:textFill>
        </w:rPr>
        <w:t>正在运行，市生态环境保护综合行政执法总队委托市生态环境监测中心对该污水处理站的总排口开展执法监测。《监测报告》〔津环监（监）7-2407011-14号〕显示：氨氮测定结果为10.4mg/L，超过《农村生活污水处理设施水污染物排放标准》（DB12/ 889—2019）表1列明的一级标准限值5mg/L的1.08倍。你单位属于超过水污染物排放标准排放水污染物。</w:t>
      </w:r>
    </w:p>
    <w:p w14:paraId="2F03B945">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以上事实，有</w:t>
      </w:r>
      <w:bookmarkStart w:id="3" w:name="PO_4_ShiShiZhengJu"/>
      <w:r>
        <w:rPr>
          <w:rFonts w:hint="eastAsia" w:eastAsia="仿宋_GB2312"/>
          <w:color w:val="000000" w:themeColor="text1"/>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sz w:val="32"/>
          <w:szCs w:val="32"/>
          <w:lang w:val="en-US" w:eastAsia="zh-CN"/>
          <w14:textFill>
            <w14:solidFill>
              <w14:schemeClr w14:val="tx1"/>
            </w14:solidFill>
          </w14:textFill>
        </w:rPr>
        <w:t>《天津市武清区农村生活污水处理工程PPP项目合同》及你单位《排污登记表》、《监测报告》〔津环监（监）7-2407011-14号〕、《农村生活污水处理设施水污染物排放标准》（DB12/ 889—2019）</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现场拍摄的视频以及营业执照复印件</w:t>
      </w:r>
      <w:bookmarkEnd w:id="3"/>
      <w:r>
        <w:rPr>
          <w:rFonts w:hint="eastAsia" w:eastAsia="仿宋_GB2312"/>
          <w:color w:val="000000" w:themeColor="text1"/>
          <w:sz w:val="32"/>
          <w:szCs w:val="32"/>
          <w14:textFill>
            <w14:solidFill>
              <w14:schemeClr w14:val="tx1"/>
            </w14:solidFill>
          </w14:textFill>
        </w:rPr>
        <w:t>等证据为凭。</w:t>
      </w:r>
    </w:p>
    <w:p w14:paraId="0657D635">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default" w:eastAsia="仿宋_GB2312"/>
          <w:color w:val="000000" w:themeColor="text1"/>
          <w:sz w:val="32"/>
          <w:szCs w:val="32"/>
          <w:lang w:val="en-US" w:eastAsia="zh-CN"/>
          <w14:textFill>
            <w14:solidFill>
              <w14:schemeClr w14:val="tx1"/>
            </w14:solidFill>
          </w14:textFill>
        </w:rPr>
        <w:t>《中华人民共和国水污染防治法》第十条</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14:paraId="1823855C">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8</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16</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105</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w:t>
      </w:r>
      <w:r>
        <w:rPr>
          <w:rFonts w:hint="eastAsia" w:eastAsia="仿宋_GB2312"/>
          <w:color w:val="000000" w:themeColor="text1"/>
          <w:kern w:val="0"/>
          <w:sz w:val="32"/>
          <w:szCs w:val="32"/>
          <w:lang w:val="en-US" w:eastAsia="zh-CN"/>
          <w14:textFill>
            <w14:solidFill>
              <w14:schemeClr w14:val="tx1"/>
            </w14:solidFill>
          </w14:textFill>
        </w:rPr>
        <w:t>有权利提出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2024</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8</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21</w:t>
      </w:r>
      <w:r>
        <w:rPr>
          <w:rFonts w:hint="eastAsia" w:eastAsia="仿宋_GB2312"/>
          <w:color w:val="000000" w:themeColor="text1"/>
          <w:kern w:val="0"/>
          <w:sz w:val="32"/>
          <w:szCs w:val="32"/>
          <w14:textFill>
            <w14:solidFill>
              <w14:schemeClr w14:val="tx1"/>
            </w14:solidFill>
          </w14:textFill>
        </w:rPr>
        <w:t>日向你单位送达上述文件，你单位于当日签收。</w:t>
      </w:r>
    </w:p>
    <w:p w14:paraId="3D653350">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2024</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8</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28</w:t>
      </w:r>
      <w:r>
        <w:rPr>
          <w:rFonts w:hint="eastAsia" w:eastAsia="仿宋_GB2312"/>
          <w:color w:val="000000" w:themeColor="text1"/>
          <w:kern w:val="0"/>
          <w:sz w:val="32"/>
          <w:szCs w:val="32"/>
          <w14:textFill>
            <w14:solidFill>
              <w14:schemeClr w14:val="tx1"/>
            </w14:solidFill>
          </w14:textFill>
        </w:rPr>
        <w:t>日，你单位向我局</w:t>
      </w:r>
      <w:r>
        <w:rPr>
          <w:rFonts w:hint="eastAsia" w:eastAsia="仿宋_GB2312"/>
          <w:color w:val="000000" w:themeColor="text1"/>
          <w:kern w:val="0"/>
          <w:sz w:val="32"/>
          <w:szCs w:val="32"/>
          <w:lang w:val="en-US" w:eastAsia="zh-CN"/>
          <w14:textFill>
            <w14:solidFill>
              <w14:schemeClr w14:val="tx1"/>
            </w14:solidFill>
          </w14:textFill>
        </w:rPr>
        <w:t>提出</w:t>
      </w:r>
      <w:r>
        <w:rPr>
          <w:rFonts w:hint="eastAsia"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申辩意见如下：</w:t>
      </w:r>
    </w:p>
    <w:p w14:paraId="7833F799">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1</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我单位于现场检查当日通过取平行样自检、聘请第三方检测单位取样检测，相关结果均达标；</w:t>
      </w:r>
    </w:p>
    <w:p w14:paraId="37701D60">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2.7月24日前已发现来水水质存在不同程度的超标并及时调整污水站工艺情况，现场检查当日我单位未及时检测水样，导致当日来水水质情况不明，未及时开展工艺调整；</w:t>
      </w:r>
    </w:p>
    <w:p w14:paraId="5643BE58">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3.现场检查当日执法监测结束后我单位通过对来水水质进行快检包检测发现氨氮及总氮指标超标情况，第一时间开展工艺调整后当日下午已经确保出水水质达标；</w:t>
      </w:r>
    </w:p>
    <w:p w14:paraId="47BA09AD">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4.陈咀村污水处理站出水的最终去向为村南干渠，作为沿线农田灌溉使用，无其他用途，无法汇入其他重要河道或敏感水体。此次超标纯属偶然，非主观故意，没有造成严重危害后果，申请免罚；</w:t>
      </w:r>
    </w:p>
    <w:p w14:paraId="5D578C7C">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5.农村污水来水水量及水质存在不稳定的客观情况，相较于城镇生活污水，碳、氮、磷比例严重失衡且存在不规律性，我司投入大量人力、物力、财力高频次对来水水质进行检测及工艺调整，运维成本很大；</w:t>
      </w:r>
    </w:p>
    <w:p w14:paraId="24AD6337">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6.针对此次超标事件我单位举一反三，进一步加强进出水水质检测，针对来水水量水质的波动性开展相应工艺调控，调整药剂投加量，确保不再发生类似事件；</w:t>
      </w:r>
    </w:p>
    <w:p w14:paraId="1E65117E">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7.我单位保留提出行政复议和行政诉讼的权利。另因经济下行，我单位运行三百余座农村生活污水处理站，公司目前入不敷出、举步维艰，本次处罚将影响我单位申请贷款，引发更大的民生问题。</w:t>
      </w:r>
    </w:p>
    <w:p w14:paraId="78BC18B9">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w:t>
      </w:r>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105</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val="en-US" w:eastAsia="zh-CN"/>
          <w14:textFill>
            <w14:solidFill>
              <w14:schemeClr w14:val="tx1"/>
            </w14:solidFill>
          </w14:textFill>
        </w:rPr>
        <w:t>你单位提出的</w:t>
      </w:r>
      <w:r>
        <w:rPr>
          <w:rFonts w:hint="eastAsia" w:eastAsia="仿宋_GB2312"/>
          <w:color w:val="000000" w:themeColor="text1"/>
          <w:kern w:val="0"/>
          <w:sz w:val="32"/>
          <w:szCs w:val="32"/>
          <w14:textFill>
            <w14:solidFill>
              <w14:schemeClr w14:val="tx1"/>
            </w14:solidFill>
          </w14:textFill>
        </w:rPr>
        <w:t>陈述申辩材料</w:t>
      </w:r>
      <w:r>
        <w:rPr>
          <w:rFonts w:eastAsia="仿宋_GB2312"/>
          <w:color w:val="000000" w:themeColor="text1"/>
          <w:kern w:val="0"/>
          <w:sz w:val="32"/>
          <w:szCs w:val="32"/>
          <w14:textFill>
            <w14:solidFill>
              <w14:schemeClr w14:val="tx1"/>
            </w14:solidFill>
          </w14:textFill>
        </w:rPr>
        <w:t xml:space="preserve">等证据为凭。  </w:t>
      </w:r>
    </w:p>
    <w:p w14:paraId="32FA4373">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集体审议</w:t>
      </w:r>
      <w:r>
        <w:rPr>
          <w:rFonts w:hint="eastAsia" w:eastAsia="仿宋_GB2312"/>
          <w:color w:val="000000" w:themeColor="text1"/>
          <w:kern w:val="0"/>
          <w:sz w:val="32"/>
          <w:szCs w:val="32"/>
          <w14:textFill>
            <w14:solidFill>
              <w14:schemeClr w14:val="tx1"/>
            </w14:solidFill>
          </w14:textFill>
        </w:rPr>
        <w:t>，不采纳</w:t>
      </w:r>
      <w:r>
        <w:rPr>
          <w:rFonts w:hint="eastAsia" w:eastAsia="仿宋_GB2312"/>
          <w:color w:val="000000" w:themeColor="text1"/>
          <w:kern w:val="0"/>
          <w:sz w:val="32"/>
          <w:szCs w:val="32"/>
          <w:lang w:val="en-US" w:eastAsia="zh-CN"/>
          <w14:textFill>
            <w14:solidFill>
              <w14:schemeClr w14:val="tx1"/>
            </w14:solidFill>
          </w14:textFill>
        </w:rPr>
        <w:t>你</w:t>
      </w:r>
      <w:r>
        <w:rPr>
          <w:rFonts w:hint="eastAsia" w:eastAsia="仿宋_GB2312"/>
          <w:color w:val="000000" w:themeColor="text1"/>
          <w:kern w:val="0"/>
          <w:sz w:val="32"/>
          <w:szCs w:val="32"/>
          <w14:textFill>
            <w14:solidFill>
              <w14:schemeClr w14:val="tx1"/>
            </w14:solidFill>
          </w14:textFill>
        </w:rPr>
        <w:t>单位陈述、申辩意见</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依据《生态环境行政处罚办法》第二十九条、《排污许可管理条例》第二十九条第二款的规定及市生态环境监测中心的书面确认，本案执法监测符合监测规范且具有证据优先性。</w:t>
      </w:r>
      <w:r>
        <w:rPr>
          <w:rFonts w:hint="eastAsia" w:eastAsia="仿宋_GB2312"/>
          <w:color w:val="000000" w:themeColor="text1"/>
          <w:kern w:val="0"/>
          <w:sz w:val="32"/>
          <w:szCs w:val="32"/>
          <w:lang w:val="en-US" w:eastAsia="zh-CN"/>
          <w14:textFill>
            <w14:solidFill>
              <w14:schemeClr w14:val="tx1"/>
            </w14:solidFill>
          </w14:textFill>
        </w:rPr>
        <w:t>综合本案证据材料，你</w:t>
      </w:r>
      <w:r>
        <w:rPr>
          <w:rFonts w:hint="eastAsia" w:eastAsia="仿宋_GB2312"/>
          <w:color w:val="000000" w:themeColor="text1"/>
          <w:kern w:val="0"/>
          <w:sz w:val="32"/>
          <w:szCs w:val="32"/>
          <w14:textFill>
            <w14:solidFill>
              <w14:schemeClr w14:val="tx1"/>
            </w14:solidFill>
          </w14:textFill>
        </w:rPr>
        <w:t>单位具有主观</w:t>
      </w:r>
      <w:r>
        <w:rPr>
          <w:rFonts w:hint="eastAsia" w:eastAsia="仿宋_GB2312"/>
          <w:color w:val="000000" w:themeColor="text1"/>
          <w:kern w:val="0"/>
          <w:sz w:val="32"/>
          <w:szCs w:val="32"/>
          <w:lang w:val="en-US" w:eastAsia="zh-CN"/>
          <w14:textFill>
            <w14:solidFill>
              <w14:schemeClr w14:val="tx1"/>
            </w14:solidFill>
          </w14:textFill>
        </w:rPr>
        <w:t>过错</w:t>
      </w:r>
      <w:r>
        <w:rPr>
          <w:rFonts w:hint="eastAsia" w:eastAsia="仿宋_GB2312"/>
          <w:color w:val="000000" w:themeColor="text1"/>
          <w:kern w:val="0"/>
          <w:sz w:val="32"/>
          <w:szCs w:val="32"/>
          <w14:textFill>
            <w14:solidFill>
              <w14:schemeClr w14:val="tx1"/>
            </w14:solidFill>
          </w14:textFill>
        </w:rPr>
        <w:t>，超标排放的污水</w:t>
      </w:r>
      <w:r>
        <w:rPr>
          <w:rFonts w:hint="eastAsia" w:eastAsia="仿宋_GB2312"/>
          <w:color w:val="000000" w:themeColor="text1"/>
          <w:kern w:val="0"/>
          <w:sz w:val="32"/>
          <w:szCs w:val="32"/>
          <w:lang w:val="en-US" w:eastAsia="zh-CN"/>
          <w14:textFill>
            <w14:solidFill>
              <w14:schemeClr w14:val="tx1"/>
            </w14:solidFill>
          </w14:textFill>
        </w:rPr>
        <w:t>最终</w:t>
      </w:r>
      <w:r>
        <w:rPr>
          <w:rFonts w:hint="eastAsia" w:eastAsia="仿宋_GB2312"/>
          <w:color w:val="000000" w:themeColor="text1"/>
          <w:kern w:val="0"/>
          <w:sz w:val="32"/>
          <w:szCs w:val="32"/>
          <w14:textFill>
            <w14:solidFill>
              <w14:schemeClr w14:val="tx1"/>
            </w14:solidFill>
          </w14:textFill>
        </w:rPr>
        <w:t>进入增产河</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具有危害后果。本案自由裁量结论合理，为最低限十万元。</w:t>
      </w:r>
    </w:p>
    <w:p w14:paraId="3358DF24">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14:paraId="49C27694">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中华人民共和国水污染防治法》第八十三条第二项</w:t>
      </w:r>
      <w:r>
        <w:rPr>
          <w:rFonts w:hint="eastAsia" w:eastAsia="仿宋_GB2312"/>
          <w:color w:val="000000" w:themeColor="text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14:paraId="13886AAC">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十</w:t>
      </w:r>
      <w:r>
        <w:rPr>
          <w:rFonts w:eastAsia="仿宋_GB2312"/>
          <w:color w:val="000000" w:themeColor="text1"/>
          <w:kern w:val="0"/>
          <w:sz w:val="32"/>
          <w:szCs w:val="32"/>
          <w14:textFill>
            <w14:solidFill>
              <w14:schemeClr w14:val="tx1"/>
            </w14:solidFill>
          </w14:textFill>
        </w:rPr>
        <w:t>万元。</w:t>
      </w:r>
    </w:p>
    <w:p w14:paraId="3246EF88">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三、处罚决定的履行方式和期限</w:t>
      </w:r>
    </w:p>
    <w:p w14:paraId="26EB8994">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14:paraId="282E2EAC">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14:paraId="6E6EDF09">
      <w:pPr>
        <w:tabs>
          <w:tab w:val="left" w:pos="8940"/>
        </w:tabs>
        <w:autoSpaceDE w:val="0"/>
        <w:autoSpaceDN w:val="0"/>
        <w:adjustRightInd w:val="0"/>
        <w:snapToGrid w:val="0"/>
        <w:spacing w:line="360" w:lineRule="auto"/>
        <w:ind w:firstLine="640" w:firstLineChars="200"/>
        <w:jc w:val="left"/>
        <w:rPr>
          <w:rStyle w:val="13"/>
          <w:rFonts w:hint="eastAsia" w:eastAsia="仿宋_GB2312"/>
          <w:color w:val="000000" w:themeColor="text1"/>
          <w:kern w:val="0"/>
          <w:sz w:val="32"/>
          <w:szCs w:val="32"/>
          <w:u w:val="none"/>
          <w:lang w:val="en-US" w:eastAsia="zh-CN"/>
          <w14:textFill>
            <w14:solidFill>
              <w14:schemeClr w14:val="tx1"/>
            </w14:solidFill>
          </w14:textFill>
        </w:rPr>
      </w:pPr>
      <w:r>
        <w:rPr>
          <w:rStyle w:val="13"/>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w:t>
      </w:r>
      <w:r>
        <w:rPr>
          <w:rFonts w:hint="eastAsia" w:eastAsia="仿宋_GB2312"/>
          <w:color w:val="000000" w:themeColor="text1"/>
          <w:kern w:val="0"/>
          <w:sz w:val="32"/>
          <w:szCs w:val="32"/>
          <w:u w:val="none"/>
          <w:lang w:val="en-US" w:eastAsia="zh-CN"/>
          <w14:textFill>
            <w14:solidFill>
              <w14:schemeClr w14:val="tx1"/>
            </w14:solidFill>
          </w14:textFill>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3"/>
          <w:rFonts w:hint="eastAsia" w:eastAsia="仿宋_GB2312"/>
          <w:color w:val="000000" w:themeColor="text1"/>
          <w:kern w:val="0"/>
          <w:sz w:val="32"/>
          <w:szCs w:val="32"/>
          <w:u w:val="none"/>
          <w:lang w:val="en-US" w:eastAsia="zh-CN"/>
          <w14:textFill>
            <w14:solidFill>
              <w14:schemeClr w14:val="tx1"/>
            </w14:solidFill>
          </w14:textFill>
        </w:rPr>
        <w:t>南开区人民法院申请强制执行。</w:t>
      </w:r>
    </w:p>
    <w:p w14:paraId="606EB055">
      <w:pPr>
        <w:tabs>
          <w:tab w:val="left" w:pos="5980"/>
          <w:tab w:val="left" w:pos="8460"/>
          <w:tab w:val="left" w:pos="9265"/>
        </w:tabs>
        <w:autoSpaceDE w:val="0"/>
        <w:autoSpaceDN w:val="0"/>
        <w:adjustRightInd w:val="0"/>
        <w:snapToGrid w:val="0"/>
        <w:spacing w:line="360" w:lineRule="auto"/>
        <w:ind w:right="-20"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附件：行政处罚信息信用修复提示函</w:t>
      </w:r>
    </w:p>
    <w:p w14:paraId="5FCADC3A">
      <w:pPr>
        <w:tabs>
          <w:tab w:val="left" w:pos="5980"/>
          <w:tab w:val="left" w:pos="8460"/>
          <w:tab w:val="left" w:pos="9265"/>
        </w:tabs>
        <w:autoSpaceDE w:val="0"/>
        <w:autoSpaceDN w:val="0"/>
        <w:adjustRightInd w:val="0"/>
        <w:snapToGrid w:val="0"/>
        <w:spacing w:line="360" w:lineRule="auto"/>
        <w:ind w:right="-20"/>
        <w:jc w:val="left"/>
        <w:rPr>
          <w:rFonts w:eastAsia="仿宋_GB2312"/>
          <w:color w:val="000000" w:themeColor="text1"/>
          <w:kern w:val="0"/>
          <w:sz w:val="32"/>
          <w:szCs w:val="32"/>
          <w14:textFill>
            <w14:solidFill>
              <w14:schemeClr w14:val="tx1"/>
            </w14:solidFill>
          </w14:textFill>
        </w:rPr>
      </w:pPr>
    </w:p>
    <w:p w14:paraId="7A99F095">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14:paraId="35952F28">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14:paraId="541C827A">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14:paraId="025B861D">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p>
    <w:p w14:paraId="331F4E08">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p>
    <w:p w14:paraId="2D062E6F">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10</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14</w:t>
      </w:r>
      <w:r>
        <w:rPr>
          <w:rFonts w:eastAsia="仿宋_GB2312"/>
          <w:color w:val="000000" w:themeColor="text1"/>
          <w:kern w:val="0"/>
          <w:sz w:val="32"/>
          <w:szCs w:val="32"/>
          <w14:textFill>
            <w14:solidFill>
              <w14:schemeClr w14:val="tx1"/>
            </w14:solidFill>
          </w14:textFill>
        </w:rPr>
        <w:t>日</w:t>
      </w:r>
    </w:p>
    <w:p w14:paraId="7B420204">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68A4BD0A">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5D13AE7C">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3F9D21D0">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35A08A2A">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15BA8EEC">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68EEB79D">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01397B8A">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60AAE1EE">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p>
    <w:p w14:paraId="0469DB12">
      <w:pPr>
        <w:tabs>
          <w:tab w:val="left" w:pos="9120"/>
        </w:tabs>
        <w:autoSpaceDE w:val="0"/>
        <w:autoSpaceDN w:val="0"/>
        <w:adjustRightInd w:val="0"/>
        <w:ind w:right="120"/>
        <w:jc w:val="both"/>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p w14:paraId="4A5851BC">
      <w:pPr>
        <w:tabs>
          <w:tab w:val="left" w:pos="9120"/>
        </w:tabs>
        <w:autoSpaceDE w:val="0"/>
        <w:autoSpaceDN w:val="0"/>
        <w:adjustRightInd w:val="0"/>
        <w:ind w:right="120"/>
        <w:jc w:val="both"/>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28"/>
          <w:szCs w:val="28"/>
          <w14:textFill>
            <w14:solidFill>
              <w14:schemeClr w14:val="tx1"/>
            </w14:solidFill>
          </w14:textFill>
        </w:rPr>
        <w:br w:type="page"/>
      </w:r>
      <w:r>
        <w:rPr>
          <w:rFonts w:hint="eastAsia" w:ascii="黑体" w:hAnsi="黑体" w:eastAsia="黑体" w:cs="黑体"/>
          <w:color w:val="000000" w:themeColor="text1"/>
          <w:kern w:val="0"/>
          <w:sz w:val="32"/>
          <w:szCs w:val="32"/>
          <w:lang w:val="en-US" w:eastAsia="zh-CN"/>
          <w14:textFill>
            <w14:solidFill>
              <w14:schemeClr w14:val="tx1"/>
            </w14:solidFill>
          </w14:textFill>
        </w:rPr>
        <w:t>附件</w:t>
      </w:r>
    </w:p>
    <w:p w14:paraId="69F8E4A1">
      <w:pPr>
        <w:keepNext w:val="0"/>
        <w:keepLines w:val="0"/>
        <w:pageBreakBefore w:val="0"/>
        <w:tabs>
          <w:tab w:val="left" w:pos="9120"/>
        </w:tabs>
        <w:kinsoku/>
        <w:wordWrap/>
        <w:overflowPunct/>
        <w:topLinePunct w:val="0"/>
        <w:autoSpaceDE w:val="0"/>
        <w:autoSpaceDN w:val="0"/>
        <w:bidi w:val="0"/>
        <w:adjustRightInd w:val="0"/>
        <w:spacing w:line="264" w:lineRule="auto"/>
        <w:ind w:right="120"/>
        <w:jc w:val="center"/>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行政处罚信用信息修复</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提示函</w:t>
      </w:r>
    </w:p>
    <w:p w14:paraId="384A86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u w:val="none"/>
          <w:lang w:val="en-US" w:eastAsia="zh-CN"/>
          <w14:textFill>
            <w14:solidFill>
              <w14:schemeClr w14:val="tx1"/>
            </w14:solidFill>
          </w14:textFill>
        </w:rPr>
        <w:t>依据《失信行为纠正后的信用信息修复管理办法（试行）》相关规定，你（单位）行政处罚信息自行政处罚决定日起公示期为一年。你（单位）自觉履行行政处罚决定内容满3个月，且经我局复查认定你单位完成前述违法行为的整改工作后，你单位可注册、登录“信用中国（天津）”网站自助办理或前往天津市公共信用中心办理信用修复——处罚信息提前终止公示。相关工作流程提示如下：</w:t>
      </w:r>
    </w:p>
    <w:p w14:paraId="6A51E01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3780"/>
        </w:tabs>
        <w:kinsoku/>
        <w:wordWrap/>
        <w:overflowPunct/>
        <w:topLinePunct w:val="0"/>
        <w:autoSpaceDE/>
        <w:autoSpaceDN/>
        <w:bidi w:val="0"/>
        <w:adjustRightInd/>
        <w:snapToGrid/>
        <w:spacing w:before="0" w:beforeAutospacing="0" w:after="0" w:afterAutospacing="0" w:line="240" w:lineRule="auto"/>
        <w:ind w:right="0" w:firstLine="640" w:firstLineChars="200"/>
        <w:jc w:val="center"/>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drawing>
          <wp:inline distT="0" distB="0" distL="114300" distR="114300">
            <wp:extent cx="2857500" cy="4204335"/>
            <wp:effectExtent l="0" t="0" r="0" b="0"/>
            <wp:docPr id="1" name="图片 2" descr="信用修复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信用修复流程图"/>
                    <pic:cNvPicPr>
                      <a:picLocks noChangeAspect="1"/>
                    </pic:cNvPicPr>
                  </pic:nvPicPr>
                  <pic:blipFill>
                    <a:blip r:embed="rId10"/>
                    <a:stretch>
                      <a:fillRect/>
                    </a:stretch>
                  </pic:blipFill>
                  <pic:spPr>
                    <a:xfrm>
                      <a:off x="0" y="0"/>
                      <a:ext cx="2857500" cy="4204335"/>
                    </a:xfrm>
                    <a:prstGeom prst="rect">
                      <a:avLst/>
                    </a:prstGeom>
                    <a:noFill/>
                    <a:ln>
                      <a:noFill/>
                    </a:ln>
                  </pic:spPr>
                </pic:pic>
              </a:graphicData>
            </a:graphic>
          </wp:inline>
        </w:drawing>
      </w:r>
    </w:p>
    <w:p w14:paraId="71DF9EE7">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000000" w:themeColor="text1"/>
          <w:kern w:val="0"/>
          <w:sz w:val="28"/>
          <w:szCs w:val="28"/>
          <w:lang w:val="en-US" w:eastAsia="zh-CN"/>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备注：信用中国（天津）网址：</w:t>
      </w:r>
      <w:r>
        <w:rPr>
          <w:rFonts w:hint="eastAsia" w:eastAsia="仿宋_GB2312"/>
          <w:color w:val="000000" w:themeColor="text1"/>
          <w:kern w:val="0"/>
          <w:sz w:val="28"/>
          <w:szCs w:val="28"/>
          <w:u w:val="none"/>
          <w:lang w:val="en-US" w:eastAsia="zh-CN"/>
          <w14:textFill>
            <w14:solidFill>
              <w14:schemeClr w14:val="tx1"/>
            </w14:solidFill>
          </w14:textFill>
        </w:rPr>
        <w:t>https://www.creditchina.gov.cn/xyxf/lczy/</w:t>
      </w:r>
    </w:p>
    <w:p w14:paraId="139E0289">
      <w:pPr>
        <w:keepNext w:val="0"/>
        <w:keepLines w:val="0"/>
        <w:pageBreakBefore w:val="0"/>
        <w:kinsoku/>
        <w:wordWrap/>
        <w:overflowPunct/>
        <w:topLinePunct w:val="0"/>
        <w:bidi w:val="0"/>
        <w:adjustRightInd w:val="0"/>
        <w:snapToGrid w:val="0"/>
        <w:spacing w:line="264" w:lineRule="auto"/>
        <w:jc w:val="left"/>
        <w:textAlignment w:val="auto"/>
        <w:rPr>
          <w:rFonts w:hint="eastAsia" w:eastAsia="仿宋_GB2312"/>
          <w:color w:val="000000" w:themeColor="text1"/>
          <w:kern w:val="0"/>
          <w:sz w:val="28"/>
          <w:szCs w:val="28"/>
          <w:lang w:val="en-US" w:eastAsia="zh-CN"/>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信用修复咨询电话：23129752（天津市公共信用中心）</w:t>
      </w:r>
    </w:p>
    <w:p w14:paraId="5BDD7EC0">
      <w:pPr>
        <w:adjustRightInd w:val="0"/>
        <w:snapToGrid w:val="0"/>
        <w:spacing w:line="360" w:lineRule="auto"/>
        <w:ind w:firstLine="2520" w:firstLineChars="900"/>
        <w:jc w:val="left"/>
        <w:rPr>
          <w:rFonts w:eastAsia="仿宋_GB2312"/>
          <w:color w:val="000000" w:themeColor="text1"/>
          <w:kern w:val="0"/>
          <w:sz w:val="28"/>
          <w:szCs w:val="28"/>
          <w14:textFill>
            <w14:solidFill>
              <w14:schemeClr w14:val="tx1"/>
            </w14:solidFill>
          </w14:textFill>
        </w:rPr>
      </w:pPr>
      <w:r>
        <w:rPr>
          <w:rFonts w:hint="eastAsia" w:eastAsia="仿宋_GB2312"/>
          <w:color w:val="000000" w:themeColor="text1"/>
          <w:kern w:val="0"/>
          <w:sz w:val="28"/>
          <w:szCs w:val="28"/>
          <w:lang w:val="en-US" w:eastAsia="zh-CN"/>
          <w14:textFill>
            <w14:solidFill>
              <w14:schemeClr w14:val="tx1"/>
            </w14:solidFill>
          </w14:textFill>
        </w:rPr>
        <w:t>63086214、87671777（天津市生态环境局）</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2B692">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150B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B66B0">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D453E">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77A57">
    <w:pPr>
      <w:pStyle w:val="8"/>
      <w:pBdr>
        <w:bottom w:val="none" w:color="auto" w:sz="0" w:space="0"/>
      </w:pBdr>
    </w:pPr>
  </w:p>
  <w:p w14:paraId="0ECD60DB"/>
  <w:p w14:paraId="2A43307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1A1D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73301B79"/>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1BAF0A67"/>
    <w:rsid w:val="1C2C4C0F"/>
    <w:rsid w:val="23D96EAA"/>
    <w:rsid w:val="24F15196"/>
    <w:rsid w:val="2A1A666F"/>
    <w:rsid w:val="2B946F65"/>
    <w:rsid w:val="2D8321C2"/>
    <w:rsid w:val="2EE92518"/>
    <w:rsid w:val="3214796D"/>
    <w:rsid w:val="337B3084"/>
    <w:rsid w:val="3D305C79"/>
    <w:rsid w:val="3E4B53BF"/>
    <w:rsid w:val="42EF4A7F"/>
    <w:rsid w:val="450F61CB"/>
    <w:rsid w:val="4A3E05CE"/>
    <w:rsid w:val="4A437691"/>
    <w:rsid w:val="4BD91CDD"/>
    <w:rsid w:val="4EDD0158"/>
    <w:rsid w:val="4F731BF1"/>
    <w:rsid w:val="502F15FB"/>
    <w:rsid w:val="503F23C3"/>
    <w:rsid w:val="51935037"/>
    <w:rsid w:val="553A03CB"/>
    <w:rsid w:val="58763D60"/>
    <w:rsid w:val="5BDF2ED1"/>
    <w:rsid w:val="5F7C4535"/>
    <w:rsid w:val="5F7E52B2"/>
    <w:rsid w:val="624F5E3E"/>
    <w:rsid w:val="6404560A"/>
    <w:rsid w:val="64F75746"/>
    <w:rsid w:val="66B216B2"/>
    <w:rsid w:val="679D04BA"/>
    <w:rsid w:val="6851522E"/>
    <w:rsid w:val="6C5A27B0"/>
    <w:rsid w:val="72330BA4"/>
    <w:rsid w:val="73301B79"/>
    <w:rsid w:val="73744CD2"/>
    <w:rsid w:val="742B7C3A"/>
    <w:rsid w:val="7C317407"/>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uiPriority w:val="99"/>
    <w:rPr>
      <w:kern w:val="2"/>
      <w:sz w:val="18"/>
      <w:szCs w:val="18"/>
    </w:rPr>
  </w:style>
  <w:style w:type="paragraph" w:customStyle="1" w:styleId="16">
    <w:name w:val="封皮"/>
    <w:basedOn w:val="1"/>
    <w:qFormat/>
    <w:uiPriority w:val="0"/>
    <w:pPr>
      <w:jc w:val="center"/>
    </w:pPr>
    <w:rPr>
      <w:rFonts w:eastAsia="黑体"/>
      <w:b/>
      <w:sz w:val="72"/>
    </w:rPr>
  </w:style>
  <w:style w:type="paragraph" w:customStyle="1" w:styleId="17">
    <w:name w:val="正文1"/>
    <w:next w:val="18"/>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024&#24180;&#25991;&#20070;&#27169;&#29256;-24&#24180;8&#26376;2&#26085;&#26356;&#26032;\22-1.&#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22-1.行政处罚决定书（申辩）.dot</Template>
  <Pages>6</Pages>
  <Words>2186</Words>
  <Characters>2409</Characters>
  <Lines>8</Lines>
  <Paragraphs>2</Paragraphs>
  <TotalTime>2</TotalTime>
  <ScaleCrop>false</ScaleCrop>
  <LinksUpToDate>false</LinksUpToDate>
  <CharactersWithSpaces>2534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2024-09-29T09:00:00Z</dcterms:created>
  <dc:creator>唐大果果</dc:creator>
  <cp:lastModifiedBy>唐大果果</cp:lastModifiedBy>
  <cp:lastPrinted>2024-10-12T09:33:17Z</cp:lastPrinted>
  <dcterms:modified xsi:type="dcterms:W3CDTF">2024-10-12T09:33:27Z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5A320845E1EE42A4B26FBE48A513504F_11</vt:lpwstr>
  </property>
</Properties>
</file>