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26</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天津文盛合环保科技有限公司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91120223MAC81B2JX8</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eastAsia="zh-CN"/>
        </w:rPr>
        <w:t>天津子牙经济技术开发区子兴南道</w:t>
      </w:r>
      <w:r>
        <w:rPr>
          <w:rFonts w:hint="eastAsia" w:eastAsia="仿宋_GB2312"/>
          <w:color w:val="auto"/>
          <w:kern w:val="0"/>
          <w:sz w:val="32"/>
          <w:szCs w:val="32"/>
          <w:lang w:val="en-US" w:eastAsia="zh-CN"/>
        </w:rPr>
        <w:t>20号北车间</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白盛潮</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10</w:t>
      </w:r>
      <w:r>
        <w:rPr>
          <w:rFonts w:eastAsia="仿宋_GB2312"/>
          <w:color w:val="auto"/>
          <w:sz w:val="32"/>
          <w:szCs w:val="32"/>
        </w:rPr>
        <w:t>月</w:t>
      </w:r>
      <w:r>
        <w:rPr>
          <w:rFonts w:hint="eastAsia" w:eastAsia="仿宋_GB2312"/>
          <w:color w:val="auto"/>
          <w:kern w:val="0"/>
          <w:sz w:val="32"/>
          <w:szCs w:val="32"/>
          <w:lang w:val="en-US" w:eastAsia="zh-CN"/>
        </w:rPr>
        <w:t>17</w:t>
      </w:r>
      <w:r>
        <w:rPr>
          <w:rFonts w:eastAsia="仿宋_GB2312"/>
          <w:color w:val="auto"/>
          <w:sz w:val="32"/>
          <w:szCs w:val="32"/>
        </w:rPr>
        <w:t>日对你单位进行了调查，</w:t>
      </w:r>
      <w:r>
        <w:rPr>
          <w:rFonts w:hint="eastAsia" w:eastAsia="仿宋_GB2312"/>
          <w:color w:val="auto"/>
          <w:sz w:val="32"/>
          <w:szCs w:val="32"/>
          <w:lang w:val="en-US" w:eastAsia="zh-CN"/>
        </w:rPr>
        <w:t>你单位租赁天津祥赫环保科技有限公司位于天津子牙经济开发区子兴南道20号的厂房，用于从事生物质燃料加工。你单位投入七十一万八千元用于购买机械设备，投入十万元租赁厂房，实际投入项目总投资额为八十一万八千元。经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你单位上述项目属于生物质燃料加工行业，按照《建设项目环境影响评价分类管理名录》43生物质燃料加工 生物质致密成型燃料加工254，应当办理建设项目环境影响报告表。至现场检查时，你单位尚未办理建设项目环境影响报告表。</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eastAsia="zh-CN"/>
        </w:rPr>
        <w:t>、你单位提供的</w:t>
      </w:r>
      <w:r>
        <w:rPr>
          <w:rFonts w:hint="eastAsia" w:eastAsia="仿宋_GB2312"/>
          <w:color w:val="auto"/>
          <w:kern w:val="0"/>
          <w:sz w:val="32"/>
          <w:szCs w:val="32"/>
          <w:lang w:val="en-US" w:eastAsia="zh-CN"/>
        </w:rPr>
        <w:t>《车间租赁合同》《情况说明》及增值税发票、</w:t>
      </w:r>
      <w:r>
        <w:rPr>
          <w:rFonts w:hint="eastAsia" w:eastAsia="仿宋_GB2312"/>
          <w:color w:val="auto"/>
          <w:sz w:val="32"/>
          <w:szCs w:val="32"/>
          <w:lang w:val="en-US" w:eastAsia="zh-CN"/>
        </w:rPr>
        <w:t>《建设项目环境影响评价分类管理名录》（2021年版）</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ascii="Times New Roman" w:hAnsi="Times New Roman" w:eastAsia="仿宋_GB2312" w:cs="Times New Roman"/>
          <w:color w:val="auto"/>
          <w:sz w:val="32"/>
          <w:szCs w:val="32"/>
          <w:lang w:eastAsia="zh-CN"/>
        </w:rPr>
        <w:t>《中华人民共和国环境影响评价法》第二十五条</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w:t>
      </w:r>
      <w:r>
        <w:rPr>
          <w:rFonts w:hint="eastAsia" w:ascii="Times New Roman" w:hAnsi="Times New Roman" w:eastAsia="仿宋_GB2312" w:cs="Times New Roman"/>
          <w:color w:val="auto"/>
          <w:kern w:val="0"/>
          <w:sz w:val="32"/>
          <w:szCs w:val="32"/>
          <w:lang w:eastAsia="zh-CN"/>
        </w:rPr>
        <w:t>20</w:t>
      </w:r>
      <w:r>
        <w:rPr>
          <w:rFonts w:hint="eastAsia" w:ascii="Times New Roman" w:hAnsi="Times New Roman" w:eastAsia="仿宋_GB2312" w:cs="Times New Roman"/>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221</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r>
        <w:rPr>
          <w:rFonts w:hint="eastAsia" w:eastAsia="仿宋_GB2312"/>
          <w:color w:val="auto"/>
          <w:kern w:val="0"/>
          <w:sz w:val="32"/>
          <w:szCs w:val="32"/>
          <w:lang w:eastAsia="zh-CN"/>
        </w:rPr>
        <w:t>，</w:t>
      </w:r>
      <w:r>
        <w:rPr>
          <w:rFonts w:hint="eastAsia" w:eastAsia="仿宋_GB2312"/>
          <w:color w:val="auto"/>
          <w:kern w:val="0"/>
          <w:sz w:val="32"/>
          <w:szCs w:val="32"/>
        </w:rPr>
        <w:t>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221</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经集体审议，本案违法事实清楚、执法程序合法、法律适用准确。根据2023年12月26日新修订的《天津市生态环境行政处罚裁量基准》及《中华人民共和国行政处罚法》第三十七条立法精神，决定对你从轻处罚。</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eastAsia="zh-CN"/>
        </w:rPr>
        <w:t>《中华人民共和国环境影响评价法》第三十一条第一款</w:t>
      </w:r>
      <w:r>
        <w:rPr>
          <w:rFonts w:hint="eastAsia" w:eastAsia="仿宋_GB2312"/>
          <w:color w:val="auto"/>
          <w:kern w:val="0"/>
          <w:sz w:val="32"/>
          <w:szCs w:val="32"/>
        </w:rPr>
        <w:t>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停止建设，限期三个月内改正违法行为</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sz w:val="32"/>
          <w:szCs w:val="32"/>
          <w:lang w:val="en-US" w:eastAsia="zh-CN"/>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sz w:val="32"/>
          <w:szCs w:val="32"/>
        </w:rPr>
        <w:t>对你单位</w:t>
      </w:r>
      <w:r>
        <w:rPr>
          <w:rFonts w:eastAsia="仿宋_GB2312"/>
          <w:color w:val="auto"/>
          <w:sz w:val="32"/>
          <w:szCs w:val="32"/>
        </w:rPr>
        <w:t>处</w:t>
      </w:r>
      <w:r>
        <w:rPr>
          <w:rFonts w:hint="eastAsia" w:eastAsia="仿宋_GB2312"/>
          <w:color w:val="auto"/>
          <w:sz w:val="32"/>
          <w:szCs w:val="32"/>
          <w:lang w:eastAsia="zh-CN"/>
        </w:rPr>
        <w:t>项目总投资额</w:t>
      </w:r>
      <w:r>
        <w:rPr>
          <w:rFonts w:hint="eastAsia" w:eastAsia="仿宋_GB2312"/>
          <w:color w:val="auto"/>
          <w:sz w:val="32"/>
          <w:szCs w:val="32"/>
          <w:lang w:val="en-US" w:eastAsia="zh-CN"/>
        </w:rPr>
        <w:t>八十一万八千元1.2</w:t>
      </w:r>
      <w:r>
        <w:rPr>
          <w:rFonts w:hint="eastAsia" w:eastAsia="仿宋_GB2312"/>
          <w:color w:val="auto"/>
          <w:sz w:val="32"/>
          <w:szCs w:val="32"/>
          <w:lang w:eastAsia="zh-CN"/>
        </w:rPr>
        <w:t>%的罚款九千八百一十六元。</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三个月内</w:t>
      </w:r>
      <w:r>
        <w:rPr>
          <w:rFonts w:eastAsia="仿宋_GB2312"/>
          <w:color w:val="auto"/>
          <w:kern w:val="0"/>
          <w:sz w:val="32"/>
          <w:szCs w:val="32"/>
        </w:rPr>
        <w:t>改正违法行为。</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建设项目的环境影响评价文件未依法经审批部门审查或者审查后未予批准的，你单位不得开工建设。</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both"/>
        <w:rPr>
          <w:rFonts w:hint="eastAsia" w:eastAsia="仿宋_GB2312"/>
          <w:color w:val="auto"/>
          <w:kern w:val="0"/>
          <w:sz w:val="32"/>
          <w:szCs w:val="32"/>
          <w:highlight w:val="yellow"/>
          <w:u w:val="none"/>
          <w:lang w:val="en-US" w:eastAsia="zh-CN"/>
        </w:rPr>
      </w:pPr>
      <w:r>
        <w:rPr>
          <w:rStyle w:val="12"/>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auto"/>
          <w:kern w:val="0"/>
          <w:sz w:val="32"/>
          <w:szCs w:val="32"/>
          <w:lang w:val="en-US" w:eastAsia="zh-CN"/>
        </w:rPr>
        <w:t>或前往天津市公共信用中心办理</w:t>
      </w:r>
      <w:r>
        <w:rPr>
          <w:rFonts w:hint="eastAsia" w:ascii="Times New Roman" w:hAnsi="Times New Roman" w:eastAsia="仿宋_GB2312" w:cs="Times New Roman"/>
          <w:color w:val="auto"/>
          <w:kern w:val="0"/>
          <w:sz w:val="32"/>
          <w:szCs w:val="32"/>
          <w:lang w:val="en-US" w:eastAsia="zh-CN"/>
        </w:rPr>
        <w:t>信用修复</w:t>
      </w:r>
      <w:r>
        <w:rPr>
          <w:rFonts w:hint="eastAsia" w:eastAsia="仿宋_GB2312" w:cs="Times New Roman"/>
          <w:color w:val="auto"/>
          <w:kern w:val="0"/>
          <w:sz w:val="32"/>
          <w:szCs w:val="32"/>
          <w:lang w:val="en-US" w:eastAsia="zh-CN"/>
        </w:rPr>
        <w:t>（咨询电话：23129752）</w:t>
      </w:r>
      <w:r>
        <w:rPr>
          <w:rFonts w:hint="eastAsia" w:ascii="Times New Roman" w:hAnsi="Times New Roman" w:eastAsia="仿宋_GB2312" w:cs="Times New Roman"/>
          <w:color w:val="auto"/>
          <w:kern w:val="0"/>
          <w:sz w:val="32"/>
          <w:szCs w:val="32"/>
          <w:lang w:val="en-US" w:eastAsia="zh-CN"/>
        </w:rPr>
        <w:t>。</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31</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31B62256"/>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0F73174D"/>
    <w:rsid w:val="14DD2E54"/>
    <w:rsid w:val="1E353F45"/>
    <w:rsid w:val="2089642A"/>
    <w:rsid w:val="23A72B7A"/>
    <w:rsid w:val="2B453C7F"/>
    <w:rsid w:val="2D426A6D"/>
    <w:rsid w:val="30936D44"/>
    <w:rsid w:val="31B62256"/>
    <w:rsid w:val="33DF60A4"/>
    <w:rsid w:val="3B2434F5"/>
    <w:rsid w:val="3EEC54CF"/>
    <w:rsid w:val="3F841B92"/>
    <w:rsid w:val="40FF52B5"/>
    <w:rsid w:val="43841772"/>
    <w:rsid w:val="473367BF"/>
    <w:rsid w:val="48475D0A"/>
    <w:rsid w:val="493D7CE7"/>
    <w:rsid w:val="4AD22D47"/>
    <w:rsid w:val="4E44018F"/>
    <w:rsid w:val="51935037"/>
    <w:rsid w:val="51C0115F"/>
    <w:rsid w:val="53B96C98"/>
    <w:rsid w:val="5B784E50"/>
    <w:rsid w:val="5B7E19C2"/>
    <w:rsid w:val="5BC40E35"/>
    <w:rsid w:val="5DC07A16"/>
    <w:rsid w:val="5F91207B"/>
    <w:rsid w:val="6C3118E9"/>
    <w:rsid w:val="6D9C4786"/>
    <w:rsid w:val="70291EB6"/>
    <w:rsid w:val="72DC74D0"/>
    <w:rsid w:val="75006F51"/>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2023&#24180;&#26696;&#21367;\91&#26080;&#38177;&#20248;&#36816;&#22810;&#30044;&#31165;&#20859;&#2754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1132</Words>
  <Characters>1234</Characters>
  <Lines>8</Lines>
  <Paragraphs>2</Paragraphs>
  <TotalTime>22</TotalTime>
  <ScaleCrop>false</ScaleCrop>
  <LinksUpToDate>false</LinksUpToDate>
  <CharactersWithSpaces>1376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2024-01-08T01:23:00Z</dcterms:created>
  <dc:creator>暗香</dc:creator>
  <cp:lastModifiedBy>暗香</cp:lastModifiedBy>
  <cp:lastPrinted>2024-02-01T02:55:00Z</cp:lastPrinted>
  <dcterms:modified xsi:type="dcterms:W3CDTF">2024-02-06T07:15:11Z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4D0B157926C94D7AAC764178AC9E4CF0_11</vt:lpwstr>
  </property>
</Properties>
</file>