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39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天津徽桐木业有限公司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911201133285919598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ind w:left="960" w:hanging="960" w:hangingChars="3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住所</w:t>
      </w:r>
      <w:r>
        <w:rPr>
          <w:rFonts w:eastAsia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eastAsia="zh-CN"/>
        </w:rPr>
        <w:t>天津市津南区八里台镇八里台工业区（南区）禄纬路与冬经路交口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黄东荣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《关于启动重污染天气应急响应的通知》《关于终止重污染天气应急响应的通知》，我市发布重污染天气橙色预警，自2023年11月19日8时起启动Ⅱ级应急响应，至2023年11月22日20时起终止Ⅱ级应急响应。按照你单位重污染天气应急响应措施，当启动Ⅱ级应急响应时，你单位面漆喷涂生产线应当停产。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2023年11月19日14时，我局对你单位现场检查时，你单位面漆喷涂车间正在进行喷涂作业。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  <w:highlight w:val="none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你单位的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《津南区企业事业单位重污染天气应急预案备案表》、你单位落实重污染天气应急响应措施“一厂一策”公示图、《减排清单》（津南区）、</w:t>
      </w:r>
      <w:r>
        <w:rPr>
          <w:rFonts w:eastAsia="仿宋_GB2312"/>
          <w:color w:val="auto"/>
          <w:sz w:val="32"/>
          <w:szCs w:val="32"/>
          <w:highlight w:val="none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  <w:highlight w:val="none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highlight w:val="none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《天津市生态环境保护条例》第六十条第二款</w:t>
      </w:r>
      <w:r>
        <w:rPr>
          <w:rFonts w:eastAsia="仿宋_GB2312"/>
          <w:color w:val="auto"/>
          <w:sz w:val="32"/>
          <w:szCs w:val="32"/>
          <w:highlight w:val="none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2024年1月9日</w:t>
      </w:r>
      <w:r>
        <w:rPr>
          <w:rFonts w:eastAsia="仿宋_GB2312"/>
          <w:color w:val="auto"/>
          <w:kern w:val="0"/>
          <w:sz w:val="32"/>
          <w:szCs w:val="32"/>
        </w:rPr>
        <w:t>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2024年1月17日</w:t>
      </w:r>
      <w:r>
        <w:rPr>
          <w:rFonts w:hint="eastAsia" w:eastAsia="仿宋_GB2312"/>
          <w:color w:val="auto"/>
          <w:kern w:val="0"/>
          <w:sz w:val="32"/>
          <w:szCs w:val="32"/>
        </w:rPr>
        <w:t>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1.我单位一向遵纪守法，积极参与公益事业和帮扶，公司和个人受到社会和政府表彰。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关于未落实重污染天气应急预案。我公司于2023年11月18日接到区环保局的通知，第一时间在工作群里下发了通知落实，要求在预警期间按照要求停产。19日上午底漆面漆车间铁皮都打扫干净了，上午区生态环境局的检查小组也来检查了，我们已经落实了重污染天气应急响应措施。（但）这次橙色预警来的很急，底漆工手上还有一些着急的货没有完成，工人抱着侥幸的心里偷着干的。当时刷底漆的模板不多，只有十多块，每块木板刷少量底漆完成，而且车间门窗都是关闭的，产生少量的废气没有跑到外环境中去，没有造成环境污染。贵局检查发现问题后，我们立即进行了整改，停止了违法行为。</w:t>
      </w:r>
    </w:p>
    <w:p>
      <w:pPr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3.这几年我们做实体的企业举步维艰，请贵局给予从轻处罚。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的陈述申辩意见及相关材料显示你单位仍存在管理上疏忽，无法排除主观过错，你单位未按照应急预案的要求采取停产措施的违法事实清楚。但考虑你单位发现违法情况后积极整改，工人作业时在密闭厂房内进行对外环境影响较小，采纳你单位的陈述申辩意见，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《中华人民共和国行政处罚法》第三十二条第一项及第五项的规定，对你单位从轻处罚。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《天津市生态环境保护条例》第八十一条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规定，我局</w:t>
      </w:r>
      <w:r>
        <w:rPr>
          <w:rFonts w:hint="eastAsia" w:eastAsia="仿宋_GB2312"/>
          <w:color w:val="auto"/>
          <w:sz w:val="32"/>
          <w:szCs w:val="32"/>
          <w:highlight w:val="none"/>
        </w:rPr>
        <w:t>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1.</w:t>
      </w:r>
      <w:r>
        <w:rPr>
          <w:rFonts w:eastAsia="仿宋_GB2312"/>
          <w:color w:val="auto"/>
          <w:sz w:val="32"/>
          <w:szCs w:val="32"/>
          <w:highlight w:val="none"/>
        </w:rPr>
        <w:t xml:space="preserve"> 责令你单位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立即改正违法行为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2.</w:t>
      </w:r>
      <w:r>
        <w:rPr>
          <w:rFonts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对你单位</w:t>
      </w:r>
      <w:r>
        <w:rPr>
          <w:rFonts w:eastAsia="仿宋_GB2312"/>
          <w:color w:val="auto"/>
          <w:sz w:val="32"/>
          <w:szCs w:val="32"/>
          <w:highlight w:val="none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eastAsia="zh-CN"/>
        </w:rPr>
        <w:t>二万元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在重污染天气应急响应期间，你单位应当按照应急预案的要求采取停产、限产等应急措施。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1CF6286E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1BAF0A67"/>
    <w:rsid w:val="1CF6286E"/>
    <w:rsid w:val="23D96EAA"/>
    <w:rsid w:val="24F15196"/>
    <w:rsid w:val="28416A2E"/>
    <w:rsid w:val="2A1A666F"/>
    <w:rsid w:val="2B946F65"/>
    <w:rsid w:val="2D8321C2"/>
    <w:rsid w:val="2EE92518"/>
    <w:rsid w:val="3214796D"/>
    <w:rsid w:val="450F61CB"/>
    <w:rsid w:val="4A3E05CE"/>
    <w:rsid w:val="4A437691"/>
    <w:rsid w:val="4B2A5BE3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2FC765F"/>
    <w:rsid w:val="6404560A"/>
    <w:rsid w:val="64F75746"/>
    <w:rsid w:val="66B216B2"/>
    <w:rsid w:val="679D04BA"/>
    <w:rsid w:val="6851522E"/>
    <w:rsid w:val="6B500F6D"/>
    <w:rsid w:val="6C5A27B0"/>
    <w:rsid w:val="70AB00EA"/>
    <w:rsid w:val="72330BA4"/>
    <w:rsid w:val="73744CD2"/>
    <w:rsid w:val="742B7C3A"/>
    <w:rsid w:val="7C1519B4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autoRedefine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autoRedefine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4&#24180;&#25991;&#20070;&#27169;&#26495;-24&#24180;1&#26376;&#26356;&#26032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4</TotalTime>
  <ScaleCrop>false</ScaleCrop>
  <LinksUpToDate>false</LinksUpToDate>
  <CharactersWithSpaces>1374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2024-01-05T06:39:00Z</dcterms:created>
  <dc:creator>暗香</dc:creator>
  <cp:lastModifiedBy>暗香</cp:lastModifiedBy>
  <cp:lastPrinted>2024-02-19T06:40:00Z</cp:lastPrinted>
  <dcterms:modified xsi:type="dcterms:W3CDTF">2024-02-23T07:50:49Z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F10571C4D7014612987826CD6D5B52ED_11</vt:lpwstr>
  </property>
</Properties>
</file>